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67579" w:rsidRPr="00192FAB" w14:paraId="54298D70" w14:textId="77777777">
        <w:trPr>
          <w:cantSplit/>
          <w:trHeight w:val="340"/>
        </w:trPr>
        <w:tc>
          <w:tcPr>
            <w:tcW w:w="2834" w:type="dxa"/>
            <w:shd w:val="clear" w:color="auto" w:fill="auto"/>
            <w:vAlign w:val="center"/>
          </w:tcPr>
          <w:p w14:paraId="7D98A27D" w14:textId="353C449B" w:rsidR="00867579" w:rsidRPr="00192FAB" w:rsidRDefault="00437B9D">
            <w:pPr>
              <w:pStyle w:val="ECVPersonalInfoHeading"/>
            </w:pPr>
            <w:r>
              <w:rPr>
                <w:caps w:val="0"/>
              </w:rPr>
              <w:t>LIČNE INFORMACIJE</w:t>
            </w:r>
          </w:p>
        </w:tc>
        <w:tc>
          <w:tcPr>
            <w:tcW w:w="7541" w:type="dxa"/>
            <w:shd w:val="clear" w:color="auto" w:fill="auto"/>
            <w:vAlign w:val="center"/>
          </w:tcPr>
          <w:p w14:paraId="639E8A39" w14:textId="771308CE" w:rsidR="00867579" w:rsidRPr="00192FAB" w:rsidRDefault="00AC5F91">
            <w:pPr>
              <w:pStyle w:val="ECVNameField"/>
            </w:pPr>
            <w:r>
              <w:t>Nemanja Jalić</w:t>
            </w:r>
            <w:r w:rsidR="00774426">
              <w:t xml:space="preserve"> </w:t>
            </w:r>
          </w:p>
        </w:tc>
      </w:tr>
      <w:tr w:rsidR="00867579" w:rsidRPr="00192FAB" w14:paraId="52869ABC" w14:textId="77777777">
        <w:trPr>
          <w:cantSplit/>
          <w:trHeight w:hRule="exact" w:val="227"/>
        </w:trPr>
        <w:tc>
          <w:tcPr>
            <w:tcW w:w="10375" w:type="dxa"/>
            <w:gridSpan w:val="2"/>
            <w:shd w:val="clear" w:color="auto" w:fill="auto"/>
          </w:tcPr>
          <w:p w14:paraId="5923EEA2" w14:textId="639D0D8F" w:rsidR="00867579" w:rsidRPr="00192FAB" w:rsidRDefault="00867579">
            <w:pPr>
              <w:pStyle w:val="ECVComments"/>
            </w:pPr>
          </w:p>
        </w:tc>
      </w:tr>
      <w:tr w:rsidR="00867579" w:rsidRPr="00192FAB" w14:paraId="4A846002" w14:textId="77777777" w:rsidTr="00AC5F91">
        <w:trPr>
          <w:cantSplit/>
          <w:trHeight w:val="993"/>
        </w:trPr>
        <w:tc>
          <w:tcPr>
            <w:tcW w:w="2834" w:type="dxa"/>
            <w:vMerge w:val="restart"/>
            <w:shd w:val="clear" w:color="auto" w:fill="auto"/>
          </w:tcPr>
          <w:p w14:paraId="10EB0EFE" w14:textId="2FA70AC8" w:rsidR="00867579" w:rsidRPr="00192FAB" w:rsidRDefault="005D1D7C">
            <w:pPr>
              <w:pStyle w:val="ECVLeftHeading"/>
            </w:pPr>
            <w:r>
              <w:rPr>
                <w:noProof/>
                <w:lang w:val="en-US" w:eastAsia="en-US" w:bidi="ar-SA"/>
              </w:rPr>
              <w:drawing>
                <wp:inline distT="0" distB="0" distL="0" distR="0" wp14:anchorId="0257E6AE" wp14:editId="73AC2F7F">
                  <wp:extent cx="1244600" cy="2146300"/>
                  <wp:effectExtent l="0" t="0" r="0" b="6350"/>
                  <wp:docPr id="14" name="Picture 14" descr="C:\Users\Nemanja Jalic\AppData\Local\Microsoft\Windows\INetCache\Content.Word\viber slika m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manja Jalic\AppData\Local\Microsoft\Windows\INetCache\Content.Word\viber slika moja.jpg"/>
                          <pic:cNvPicPr>
                            <a:picLocks noChangeAspect="1" noChangeArrowheads="1"/>
                          </pic:cNvPicPr>
                        </pic:nvPicPr>
                        <pic:blipFill>
                          <a:blip r:embed="rId7" cstate="print">
                            <a:extLst>
                              <a:ext uri="{28A0092B-C50C-407E-A947-70E740481C1C}">
                                <a14:useLocalDpi xmlns:a14="http://schemas.microsoft.com/office/drawing/2010/main" val="0"/>
                              </a:ext>
                            </a:extLst>
                          </a:blip>
                          <a:srcRect l="1979" t="11943" r="494" b="8241"/>
                          <a:stretch>
                            <a:fillRect/>
                          </a:stretch>
                        </pic:blipFill>
                        <pic:spPr bwMode="auto">
                          <a:xfrm>
                            <a:off x="0" y="0"/>
                            <a:ext cx="1244600" cy="2146300"/>
                          </a:xfrm>
                          <a:prstGeom prst="rect">
                            <a:avLst/>
                          </a:prstGeom>
                          <a:noFill/>
                          <a:ln>
                            <a:noFill/>
                          </a:ln>
                        </pic:spPr>
                      </pic:pic>
                    </a:graphicData>
                  </a:graphic>
                </wp:inline>
              </w:drawing>
            </w:r>
          </w:p>
        </w:tc>
        <w:tc>
          <w:tcPr>
            <w:tcW w:w="7541" w:type="dxa"/>
            <w:shd w:val="clear" w:color="auto" w:fill="auto"/>
          </w:tcPr>
          <w:p w14:paraId="581F02B5" w14:textId="77777777" w:rsidR="00867579" w:rsidRDefault="005F483E">
            <w:pPr>
              <w:pStyle w:val="ECVContactDetails0"/>
            </w:pPr>
            <w:r>
              <w:rPr>
                <w:noProof/>
                <w:lang w:val="en-US" w:eastAsia="en-US" w:bidi="ar-SA"/>
              </w:rPr>
              <w:drawing>
                <wp:anchor distT="0" distB="0" distL="0" distR="71755" simplePos="0" relativeHeight="251655680" behindDoc="0" locked="0" layoutInCell="1" allowOverlap="1" wp14:anchorId="5692EFB2" wp14:editId="59E8DA3D">
                  <wp:simplePos x="0" y="0"/>
                  <wp:positionH relativeFrom="column">
                    <wp:posOffset>0</wp:posOffset>
                  </wp:positionH>
                  <wp:positionV relativeFrom="paragraph">
                    <wp:posOffset>0</wp:posOffset>
                  </wp:positionV>
                  <wp:extent cx="123825" cy="143510"/>
                  <wp:effectExtent l="0" t="0" r="9525" b="889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D1D7C">
              <w:t>Blagoja Parovića bb</w:t>
            </w:r>
          </w:p>
          <w:p w14:paraId="24AAE0F2" w14:textId="095BED70" w:rsidR="005D1D7C" w:rsidRPr="00192FAB" w:rsidRDefault="005D1D7C">
            <w:pPr>
              <w:pStyle w:val="ECVContactDetails0"/>
            </w:pPr>
            <w:r>
              <w:t>78000 Banja Luka</w:t>
            </w:r>
          </w:p>
        </w:tc>
      </w:tr>
      <w:tr w:rsidR="00867579" w:rsidRPr="00192FAB" w14:paraId="61BD17DF" w14:textId="77777777" w:rsidTr="00AC5F91">
        <w:trPr>
          <w:cantSplit/>
          <w:trHeight w:val="562"/>
        </w:trPr>
        <w:tc>
          <w:tcPr>
            <w:tcW w:w="2834" w:type="dxa"/>
            <w:vMerge/>
            <w:shd w:val="clear" w:color="auto" w:fill="auto"/>
          </w:tcPr>
          <w:p w14:paraId="5363FA20" w14:textId="77777777" w:rsidR="00867579" w:rsidRPr="00192FAB" w:rsidRDefault="00867579"/>
        </w:tc>
        <w:tc>
          <w:tcPr>
            <w:tcW w:w="7541" w:type="dxa"/>
            <w:shd w:val="clear" w:color="auto" w:fill="auto"/>
          </w:tcPr>
          <w:p w14:paraId="3D7F8FD1" w14:textId="364D2AFA" w:rsidR="00867579" w:rsidRPr="00192FAB" w:rsidRDefault="005F483E">
            <w:pPr>
              <w:pStyle w:val="ECVContactDetails0"/>
              <w:tabs>
                <w:tab w:val="right" w:pos="8218"/>
              </w:tabs>
            </w:pPr>
            <w:r>
              <w:rPr>
                <w:noProof/>
                <w:lang w:val="en-US" w:eastAsia="en-US" w:bidi="ar-SA"/>
              </w:rPr>
              <w:drawing>
                <wp:anchor distT="0" distB="0" distL="0" distR="71755" simplePos="0" relativeHeight="251659776" behindDoc="0" locked="0" layoutInCell="1" allowOverlap="1" wp14:anchorId="5E026F15" wp14:editId="7F2342F7">
                  <wp:simplePos x="0" y="0"/>
                  <wp:positionH relativeFrom="column">
                    <wp:posOffset>0</wp:posOffset>
                  </wp:positionH>
                  <wp:positionV relativeFrom="paragraph">
                    <wp:posOffset>0</wp:posOffset>
                  </wp:positionV>
                  <wp:extent cx="125730" cy="128905"/>
                  <wp:effectExtent l="0" t="0" r="7620" b="4445"/>
                  <wp:wrapSquare wrapText="bothSides"/>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D1D7C">
              <w:t xml:space="preserve">+387 51 330 926 </w:t>
            </w:r>
            <w:r w:rsidR="00774426">
              <w:rPr>
                <w:rStyle w:val="ECVContactDetails"/>
              </w:rPr>
              <w:t xml:space="preserve">                       </w:t>
            </w:r>
            <w:r w:rsidR="00867579" w:rsidRPr="00192FAB">
              <w:rPr>
                <w:rStyle w:val="ECVContactDetails"/>
              </w:rPr>
              <w:t xml:space="preserve">    </w:t>
            </w:r>
            <w:r>
              <w:rPr>
                <w:noProof/>
                <w:lang w:val="en-US" w:eastAsia="en-US" w:bidi="ar-SA"/>
              </w:rPr>
              <w:drawing>
                <wp:inline distT="0" distB="0" distL="0" distR="0" wp14:anchorId="1E6C564B" wp14:editId="71059482">
                  <wp:extent cx="127000" cy="133350"/>
                  <wp:effectExtent l="0" t="0" r="635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solidFill>
                            <a:srgbClr val="FFFFFF"/>
                          </a:solidFill>
                          <a:ln>
                            <a:noFill/>
                          </a:ln>
                        </pic:spPr>
                      </pic:pic>
                    </a:graphicData>
                  </a:graphic>
                </wp:inline>
              </w:drawing>
            </w:r>
            <w:r w:rsidR="00867579" w:rsidRPr="00192FAB">
              <w:t xml:space="preserve"> </w:t>
            </w:r>
            <w:r w:rsidR="005D1D7C">
              <w:rPr>
                <w:rStyle w:val="ECVContactDetails"/>
              </w:rPr>
              <w:t>+387 66 219 409</w:t>
            </w:r>
          </w:p>
        </w:tc>
      </w:tr>
      <w:tr w:rsidR="00867579" w:rsidRPr="00192FAB" w14:paraId="5B0722C6" w14:textId="77777777">
        <w:trPr>
          <w:cantSplit/>
          <w:trHeight w:val="340"/>
        </w:trPr>
        <w:tc>
          <w:tcPr>
            <w:tcW w:w="2834" w:type="dxa"/>
            <w:vMerge/>
            <w:shd w:val="clear" w:color="auto" w:fill="auto"/>
          </w:tcPr>
          <w:p w14:paraId="2E49A2C6" w14:textId="77777777" w:rsidR="00867579" w:rsidRPr="00192FAB" w:rsidRDefault="00867579"/>
        </w:tc>
        <w:tc>
          <w:tcPr>
            <w:tcW w:w="7541" w:type="dxa"/>
            <w:shd w:val="clear" w:color="auto" w:fill="auto"/>
            <w:vAlign w:val="center"/>
          </w:tcPr>
          <w:p w14:paraId="59F65AD2" w14:textId="08A8CCFA" w:rsidR="00867579" w:rsidRPr="00192FAB" w:rsidRDefault="005F483E" w:rsidP="005D1D7C">
            <w:pPr>
              <w:pStyle w:val="ECVContactDetails0"/>
            </w:pPr>
            <w:r>
              <w:rPr>
                <w:noProof/>
                <w:lang w:val="en-US" w:eastAsia="en-US" w:bidi="ar-SA"/>
              </w:rPr>
              <w:drawing>
                <wp:anchor distT="0" distB="0" distL="0" distR="71755" simplePos="0" relativeHeight="251658752" behindDoc="0" locked="0" layoutInCell="1" allowOverlap="1" wp14:anchorId="3D3730AC" wp14:editId="411FB2D5">
                  <wp:simplePos x="0" y="0"/>
                  <wp:positionH relativeFrom="column">
                    <wp:posOffset>0</wp:posOffset>
                  </wp:positionH>
                  <wp:positionV relativeFrom="paragraph">
                    <wp:posOffset>0</wp:posOffset>
                  </wp:positionV>
                  <wp:extent cx="126365" cy="144145"/>
                  <wp:effectExtent l="0" t="0" r="6985" b="8255"/>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D1D7C">
              <w:rPr>
                <w:rStyle w:val="ECVInternetLink"/>
              </w:rPr>
              <w:t>nemanjajalic@agro.unibl.org</w:t>
            </w:r>
          </w:p>
        </w:tc>
      </w:tr>
      <w:tr w:rsidR="00867579" w:rsidRPr="00192FAB" w14:paraId="50A93B2D" w14:textId="77777777">
        <w:trPr>
          <w:cantSplit/>
          <w:trHeight w:val="340"/>
        </w:trPr>
        <w:tc>
          <w:tcPr>
            <w:tcW w:w="2834" w:type="dxa"/>
            <w:vMerge/>
            <w:shd w:val="clear" w:color="auto" w:fill="auto"/>
          </w:tcPr>
          <w:p w14:paraId="3BCDE2C4" w14:textId="77777777" w:rsidR="00867579" w:rsidRPr="00192FAB" w:rsidRDefault="00867579"/>
        </w:tc>
        <w:tc>
          <w:tcPr>
            <w:tcW w:w="7541" w:type="dxa"/>
            <w:shd w:val="clear" w:color="auto" w:fill="auto"/>
          </w:tcPr>
          <w:p w14:paraId="64815510" w14:textId="09B7B639" w:rsidR="00867579" w:rsidRPr="00192FAB" w:rsidRDefault="00867579">
            <w:pPr>
              <w:pStyle w:val="ECVContactDetails0"/>
            </w:pPr>
          </w:p>
        </w:tc>
      </w:tr>
      <w:tr w:rsidR="00867579" w:rsidRPr="00192FAB" w14:paraId="58293EA4" w14:textId="77777777">
        <w:trPr>
          <w:cantSplit/>
          <w:trHeight w:val="340"/>
        </w:trPr>
        <w:tc>
          <w:tcPr>
            <w:tcW w:w="2834" w:type="dxa"/>
            <w:vMerge/>
            <w:shd w:val="clear" w:color="auto" w:fill="auto"/>
          </w:tcPr>
          <w:p w14:paraId="07500A90" w14:textId="77777777" w:rsidR="00867579" w:rsidRPr="00192FAB" w:rsidRDefault="00867579"/>
        </w:tc>
        <w:tc>
          <w:tcPr>
            <w:tcW w:w="7541" w:type="dxa"/>
            <w:shd w:val="clear" w:color="auto" w:fill="auto"/>
          </w:tcPr>
          <w:p w14:paraId="24B1E84B" w14:textId="4B936DDE" w:rsidR="00867579" w:rsidRPr="00192FAB" w:rsidRDefault="00867579">
            <w:pPr>
              <w:pStyle w:val="ECVContactDetails0"/>
            </w:pPr>
          </w:p>
        </w:tc>
      </w:tr>
      <w:tr w:rsidR="00867579" w:rsidRPr="00192FAB" w14:paraId="34539F3C" w14:textId="77777777">
        <w:trPr>
          <w:cantSplit/>
          <w:trHeight w:val="397"/>
        </w:trPr>
        <w:tc>
          <w:tcPr>
            <w:tcW w:w="2834" w:type="dxa"/>
            <w:vMerge/>
            <w:shd w:val="clear" w:color="auto" w:fill="auto"/>
          </w:tcPr>
          <w:p w14:paraId="4154F8AA" w14:textId="77777777" w:rsidR="00867579" w:rsidRPr="00192FAB" w:rsidRDefault="00867579"/>
        </w:tc>
        <w:tc>
          <w:tcPr>
            <w:tcW w:w="7541" w:type="dxa"/>
            <w:shd w:val="clear" w:color="auto" w:fill="auto"/>
            <w:vAlign w:val="center"/>
          </w:tcPr>
          <w:p w14:paraId="71EAB3BD" w14:textId="0536ED89" w:rsidR="005F483E" w:rsidRDefault="00774426">
            <w:pPr>
              <w:pStyle w:val="ECVGenderRow"/>
            </w:pPr>
            <w:r>
              <w:rPr>
                <w:rStyle w:val="ECVHeadingContactDetails"/>
              </w:rPr>
              <w:t>Pol:</w:t>
            </w:r>
            <w:r w:rsidR="00867579" w:rsidRPr="00192FAB">
              <w:t xml:space="preserve"> </w:t>
            </w:r>
            <w:r w:rsidR="005D1D7C">
              <w:rPr>
                <w:rStyle w:val="ECVContactDetails"/>
              </w:rPr>
              <w:t>Muški</w:t>
            </w:r>
            <w:r w:rsidR="00867579" w:rsidRPr="00192FAB">
              <w:t xml:space="preserve"> </w:t>
            </w:r>
          </w:p>
          <w:p w14:paraId="74084CC3" w14:textId="7493E0CB" w:rsidR="00867579" w:rsidRDefault="00774426">
            <w:pPr>
              <w:pStyle w:val="ECVGenderRow"/>
            </w:pPr>
            <w:r>
              <w:rPr>
                <w:rStyle w:val="ECVHeadingContactDetails"/>
              </w:rPr>
              <w:t>Datum rođenja</w:t>
            </w:r>
            <w:r w:rsidR="00867579" w:rsidRPr="00192FAB">
              <w:t xml:space="preserve"> </w:t>
            </w:r>
            <w:r w:rsidR="005D1D7C">
              <w:rPr>
                <w:rStyle w:val="ECVContactDetails"/>
              </w:rPr>
              <w:t>03/04/1996</w:t>
            </w:r>
          </w:p>
          <w:p w14:paraId="73D4587D" w14:textId="1F23BEB9" w:rsidR="00437B9D" w:rsidRPr="00192FAB" w:rsidRDefault="00437B9D" w:rsidP="009A14F7">
            <w:pPr>
              <w:pStyle w:val="ECVGenderRow"/>
            </w:pPr>
          </w:p>
        </w:tc>
      </w:tr>
    </w:tbl>
    <w:p w14:paraId="071082F6" w14:textId="77777777" w:rsidR="00867579" w:rsidRPr="00192FAB" w:rsidRDefault="00867579">
      <w:pPr>
        <w:pStyle w:val="ECVText"/>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867579" w:rsidRPr="00192FAB" w14:paraId="272B413A" w14:textId="77777777">
        <w:trPr>
          <w:cantSplit/>
          <w:trHeight w:val="340"/>
        </w:trPr>
        <w:tc>
          <w:tcPr>
            <w:tcW w:w="2834" w:type="dxa"/>
            <w:shd w:val="clear" w:color="auto" w:fill="auto"/>
            <w:vAlign w:val="center"/>
          </w:tcPr>
          <w:p w14:paraId="52704A2B" w14:textId="3B8225D1" w:rsidR="00867579" w:rsidRPr="00192FAB" w:rsidRDefault="00437B9D">
            <w:pPr>
              <w:pStyle w:val="ECVLeftHeading"/>
            </w:pPr>
            <w:r>
              <w:t>aPLIKACIJA ZA POZICIJU</w:t>
            </w:r>
          </w:p>
        </w:tc>
        <w:tc>
          <w:tcPr>
            <w:tcW w:w="7541" w:type="dxa"/>
            <w:shd w:val="clear" w:color="auto" w:fill="auto"/>
            <w:vAlign w:val="center"/>
          </w:tcPr>
          <w:p w14:paraId="38DA3B8C" w14:textId="7E2E5B3E" w:rsidR="00867579" w:rsidRPr="00192FAB" w:rsidRDefault="00437B9D">
            <w:pPr>
              <w:pStyle w:val="ECVNameField"/>
            </w:pPr>
            <w:r>
              <w:t>Učesnik na radionicama AGRIPRENEUR</w:t>
            </w:r>
          </w:p>
        </w:tc>
      </w:tr>
    </w:tbl>
    <w:p w14:paraId="41721FF8"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4007D5A8" w14:textId="77777777">
        <w:trPr>
          <w:trHeight w:val="170"/>
        </w:trPr>
        <w:tc>
          <w:tcPr>
            <w:tcW w:w="2835" w:type="dxa"/>
            <w:shd w:val="clear" w:color="auto" w:fill="auto"/>
          </w:tcPr>
          <w:p w14:paraId="52413506" w14:textId="6D623E61" w:rsidR="00867579" w:rsidRPr="00192FAB" w:rsidRDefault="00437B9D">
            <w:pPr>
              <w:pStyle w:val="ECVLeftHeading"/>
            </w:pPr>
            <w:r>
              <w:rPr>
                <w:caps w:val="0"/>
              </w:rPr>
              <w:t>RADNO ISKUSTVO</w:t>
            </w:r>
          </w:p>
        </w:tc>
        <w:tc>
          <w:tcPr>
            <w:tcW w:w="7540" w:type="dxa"/>
            <w:shd w:val="clear" w:color="auto" w:fill="auto"/>
            <w:vAlign w:val="bottom"/>
          </w:tcPr>
          <w:p w14:paraId="2A9C0F68" w14:textId="4EE32A61" w:rsidR="00867579" w:rsidRPr="00192FAB" w:rsidRDefault="005F483E">
            <w:pPr>
              <w:pStyle w:val="ECVBlueBox"/>
            </w:pPr>
            <w:r>
              <w:rPr>
                <w:noProof/>
                <w:lang w:val="en-US" w:eastAsia="en-US" w:bidi="ar-SA"/>
              </w:rPr>
              <w:drawing>
                <wp:inline distT="0" distB="0" distL="0" distR="0" wp14:anchorId="28FCD27D" wp14:editId="6747F732">
                  <wp:extent cx="4794250" cy="8255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079C75D0" w14:textId="0AC1F0B4" w:rsidR="00867579" w:rsidRPr="00192FAB" w:rsidRDefault="00867579">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5D1D7C" w:rsidRPr="00192FAB" w14:paraId="23A0C0AC" w14:textId="77777777">
        <w:trPr>
          <w:cantSplit/>
        </w:trPr>
        <w:tc>
          <w:tcPr>
            <w:tcW w:w="2834" w:type="dxa"/>
            <w:vMerge w:val="restart"/>
            <w:shd w:val="clear" w:color="auto" w:fill="auto"/>
          </w:tcPr>
          <w:p w14:paraId="6D55C50B" w14:textId="1723EAF0" w:rsidR="005D1D7C" w:rsidRPr="00192FAB" w:rsidRDefault="005D1D7C" w:rsidP="005D1D7C">
            <w:pPr>
              <w:pStyle w:val="ECVDate"/>
            </w:pPr>
            <w:r>
              <w:rPr>
                <w:sz w:val="22"/>
                <w:szCs w:val="22"/>
              </w:rPr>
              <w:t>2020</w:t>
            </w:r>
            <w:r w:rsidR="00A81D9B">
              <w:rPr>
                <w:sz w:val="22"/>
                <w:szCs w:val="22"/>
              </w:rPr>
              <w:t>-</w:t>
            </w:r>
          </w:p>
          <w:p w14:paraId="18604FA2" w14:textId="379F1783" w:rsidR="005D1D7C" w:rsidRPr="00192FAB" w:rsidRDefault="005D1D7C" w:rsidP="005D1D7C">
            <w:pPr>
              <w:pStyle w:val="ECVDate"/>
            </w:pPr>
          </w:p>
        </w:tc>
        <w:tc>
          <w:tcPr>
            <w:tcW w:w="7541" w:type="dxa"/>
            <w:shd w:val="clear" w:color="auto" w:fill="auto"/>
          </w:tcPr>
          <w:p w14:paraId="41DBADA1" w14:textId="0752EE9A" w:rsidR="005D1D7C" w:rsidRPr="00192FAB" w:rsidRDefault="005D1D7C" w:rsidP="005D1D7C">
            <w:pPr>
              <w:pStyle w:val="ECVSubSectionHeading"/>
            </w:pPr>
            <w:r>
              <w:t xml:space="preserve">Viši asistent </w:t>
            </w:r>
          </w:p>
        </w:tc>
      </w:tr>
      <w:tr w:rsidR="005D1D7C" w:rsidRPr="00192FAB" w14:paraId="166CF9C1" w14:textId="77777777">
        <w:trPr>
          <w:cantSplit/>
        </w:trPr>
        <w:tc>
          <w:tcPr>
            <w:tcW w:w="2834" w:type="dxa"/>
            <w:vMerge/>
            <w:shd w:val="clear" w:color="auto" w:fill="auto"/>
          </w:tcPr>
          <w:p w14:paraId="690C4F63" w14:textId="77777777" w:rsidR="005D1D7C" w:rsidRPr="00192FAB" w:rsidRDefault="005D1D7C" w:rsidP="005D1D7C"/>
        </w:tc>
        <w:tc>
          <w:tcPr>
            <w:tcW w:w="7541" w:type="dxa"/>
            <w:shd w:val="clear" w:color="auto" w:fill="auto"/>
          </w:tcPr>
          <w:p w14:paraId="3FCB28C2" w14:textId="3B7A4A5A" w:rsidR="005D1D7C" w:rsidRPr="00F60725" w:rsidRDefault="005D1D7C" w:rsidP="005D1D7C">
            <w:pPr>
              <w:pStyle w:val="CVNormal"/>
              <w:ind w:left="0"/>
              <w:rPr>
                <w:rFonts w:ascii="Arial" w:hAnsi="Arial" w:cs="Arial"/>
                <w:b/>
                <w:color w:val="000000"/>
                <w:sz w:val="18"/>
                <w:szCs w:val="18"/>
                <w:lang w:val="en-GB"/>
              </w:rPr>
            </w:pPr>
            <w:r>
              <w:rPr>
                <w:rFonts w:ascii="Arial" w:hAnsi="Arial" w:cs="Arial"/>
                <w:b/>
                <w:color w:val="000000"/>
                <w:sz w:val="18"/>
                <w:szCs w:val="18"/>
                <w:lang w:val="en-GB"/>
              </w:rPr>
              <w:t>Univerzitet u Banjoj</w:t>
            </w:r>
            <w:r w:rsidRPr="00F60725">
              <w:rPr>
                <w:rFonts w:ascii="Arial" w:hAnsi="Arial" w:cs="Arial"/>
                <w:b/>
                <w:color w:val="000000"/>
                <w:sz w:val="18"/>
                <w:szCs w:val="18"/>
                <w:lang w:val="en-GB"/>
              </w:rPr>
              <w:t xml:space="preserve"> Lu</w:t>
            </w:r>
            <w:r>
              <w:rPr>
                <w:rFonts w:ascii="Arial" w:hAnsi="Arial" w:cs="Arial"/>
                <w:b/>
                <w:color w:val="000000"/>
                <w:sz w:val="18"/>
                <w:szCs w:val="18"/>
                <w:lang w:val="en-GB"/>
              </w:rPr>
              <w:t>ci</w:t>
            </w:r>
          </w:p>
          <w:p w14:paraId="6FE76C72" w14:textId="6EC6B41B" w:rsidR="005D1D7C" w:rsidRPr="00F60725" w:rsidRDefault="005D1D7C" w:rsidP="005D1D7C">
            <w:pPr>
              <w:pStyle w:val="CVNormal"/>
              <w:ind w:left="0"/>
              <w:rPr>
                <w:rFonts w:ascii="Arial" w:hAnsi="Arial" w:cs="Arial"/>
                <w:color w:val="000000"/>
                <w:sz w:val="18"/>
                <w:szCs w:val="18"/>
                <w:lang w:val="en-GB"/>
              </w:rPr>
            </w:pPr>
            <w:r>
              <w:rPr>
                <w:rFonts w:ascii="Arial" w:hAnsi="Arial" w:cs="Arial"/>
                <w:color w:val="000000"/>
                <w:sz w:val="18"/>
                <w:szCs w:val="18"/>
                <w:lang w:val="en-GB"/>
              </w:rPr>
              <w:t>Poljoprivredni fakultet</w:t>
            </w:r>
          </w:p>
          <w:p w14:paraId="1C3846AE" w14:textId="77777777" w:rsidR="005D1D7C" w:rsidRPr="00F60725" w:rsidRDefault="005D1D7C" w:rsidP="005D1D7C">
            <w:pPr>
              <w:pStyle w:val="ECVOrganisationDetails"/>
              <w:spacing w:before="0" w:after="0" w:line="240" w:lineRule="auto"/>
              <w:rPr>
                <w:rFonts w:cs="Arial"/>
                <w:color w:val="000000"/>
              </w:rPr>
            </w:pPr>
            <w:r w:rsidRPr="00F60725">
              <w:rPr>
                <w:rFonts w:cs="Arial"/>
                <w:color w:val="000000"/>
              </w:rPr>
              <w:t xml:space="preserve">Bulevar vojvode Petra Bojovica 1a </w:t>
            </w:r>
          </w:p>
          <w:p w14:paraId="35FC3F07" w14:textId="77777777" w:rsidR="005D1D7C" w:rsidRPr="00F60725" w:rsidRDefault="005D1D7C" w:rsidP="005D1D7C">
            <w:pPr>
              <w:pStyle w:val="ECVOrganisationDetails"/>
              <w:spacing w:before="0" w:after="0" w:line="240" w:lineRule="auto"/>
              <w:rPr>
                <w:rFonts w:cs="Arial"/>
                <w:color w:val="000000"/>
              </w:rPr>
            </w:pPr>
            <w:r w:rsidRPr="00F60725">
              <w:rPr>
                <w:rFonts w:cs="Arial"/>
                <w:color w:val="000000"/>
              </w:rPr>
              <w:t>78000 Banja Luka</w:t>
            </w:r>
          </w:p>
          <w:p w14:paraId="184E7F0E" w14:textId="513A4DF3" w:rsidR="005D1D7C" w:rsidRPr="00192FAB" w:rsidRDefault="005D1D7C" w:rsidP="005D1D7C">
            <w:pPr>
              <w:pStyle w:val="ECVOrganisationDetails"/>
            </w:pPr>
            <w:r>
              <w:rPr>
                <w:rFonts w:cs="Arial"/>
                <w:color w:val="000000"/>
              </w:rPr>
              <w:t>Bosna i Hercegovina</w:t>
            </w:r>
          </w:p>
        </w:tc>
      </w:tr>
      <w:tr w:rsidR="005D1D7C" w:rsidRPr="00192FAB" w14:paraId="55B10510" w14:textId="77777777">
        <w:trPr>
          <w:cantSplit/>
        </w:trPr>
        <w:tc>
          <w:tcPr>
            <w:tcW w:w="2834" w:type="dxa"/>
            <w:vMerge/>
            <w:shd w:val="clear" w:color="auto" w:fill="auto"/>
          </w:tcPr>
          <w:p w14:paraId="6DB62765" w14:textId="77777777" w:rsidR="005D1D7C" w:rsidRPr="00192FAB" w:rsidRDefault="005D1D7C" w:rsidP="005D1D7C"/>
        </w:tc>
        <w:tc>
          <w:tcPr>
            <w:tcW w:w="7541" w:type="dxa"/>
            <w:shd w:val="clear" w:color="auto" w:fill="auto"/>
          </w:tcPr>
          <w:p w14:paraId="00123612" w14:textId="31E68D93" w:rsidR="005D1D7C" w:rsidRPr="00192FAB" w:rsidRDefault="005D1D7C" w:rsidP="005D1D7C">
            <w:pPr>
              <w:pStyle w:val="ECVSectionBullet"/>
            </w:pPr>
          </w:p>
        </w:tc>
      </w:tr>
      <w:tr w:rsidR="005D1D7C" w:rsidRPr="00192FAB" w14:paraId="7D48FAFB" w14:textId="77777777">
        <w:trPr>
          <w:cantSplit/>
          <w:trHeight w:val="340"/>
        </w:trPr>
        <w:tc>
          <w:tcPr>
            <w:tcW w:w="2834" w:type="dxa"/>
            <w:vMerge/>
            <w:shd w:val="clear" w:color="auto" w:fill="auto"/>
          </w:tcPr>
          <w:p w14:paraId="031C1D52" w14:textId="77777777" w:rsidR="005D1D7C" w:rsidRPr="00192FAB" w:rsidRDefault="005D1D7C" w:rsidP="005D1D7C"/>
        </w:tc>
        <w:tc>
          <w:tcPr>
            <w:tcW w:w="7541" w:type="dxa"/>
            <w:shd w:val="clear" w:color="auto" w:fill="auto"/>
            <w:vAlign w:val="bottom"/>
          </w:tcPr>
          <w:p w14:paraId="689D801E" w14:textId="4172F90A" w:rsidR="005D1D7C" w:rsidRPr="00192FAB" w:rsidRDefault="005D1D7C" w:rsidP="005D1D7C">
            <w:pPr>
              <w:pStyle w:val="ECVBusinessSectorRow"/>
            </w:pPr>
            <w:r>
              <w:rPr>
                <w:color w:val="000000"/>
                <w:sz w:val="18"/>
                <w:szCs w:val="18"/>
              </w:rPr>
              <w:t>Edukacija i naučno-istraživački rad</w:t>
            </w:r>
          </w:p>
        </w:tc>
      </w:tr>
    </w:tbl>
    <w:p w14:paraId="73D1583B"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0C55A589" w14:textId="77777777">
        <w:trPr>
          <w:trHeight w:val="170"/>
        </w:trPr>
        <w:tc>
          <w:tcPr>
            <w:tcW w:w="2835" w:type="dxa"/>
            <w:shd w:val="clear" w:color="auto" w:fill="auto"/>
          </w:tcPr>
          <w:p w14:paraId="4132C2C0" w14:textId="757140EC" w:rsidR="00867579" w:rsidRPr="00192FAB" w:rsidRDefault="00437B9D">
            <w:pPr>
              <w:pStyle w:val="ECVLeftHeading"/>
            </w:pPr>
            <w:r>
              <w:rPr>
                <w:caps w:val="0"/>
              </w:rPr>
              <w:t>EDUKACIJE I TRENINZI</w:t>
            </w:r>
          </w:p>
        </w:tc>
        <w:tc>
          <w:tcPr>
            <w:tcW w:w="7540" w:type="dxa"/>
            <w:shd w:val="clear" w:color="auto" w:fill="auto"/>
            <w:vAlign w:val="bottom"/>
          </w:tcPr>
          <w:p w14:paraId="53660834" w14:textId="6D3A9ABC" w:rsidR="00867579" w:rsidRPr="00192FAB" w:rsidRDefault="005F483E">
            <w:pPr>
              <w:pStyle w:val="ECVBlueBox"/>
            </w:pPr>
            <w:r>
              <w:rPr>
                <w:noProof/>
                <w:lang w:val="en-US" w:eastAsia="en-US" w:bidi="ar-SA"/>
              </w:rPr>
              <w:drawing>
                <wp:inline distT="0" distB="0" distL="0" distR="0" wp14:anchorId="0623C255" wp14:editId="12FF7510">
                  <wp:extent cx="4794250" cy="82550"/>
                  <wp:effectExtent l="0" t="0" r="635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4CBC28CC" w14:textId="58A40BE4" w:rsidR="00867579" w:rsidRPr="00192FAB" w:rsidRDefault="00867579">
      <w:pPr>
        <w:pStyle w:val="ECVComments"/>
      </w:pPr>
    </w:p>
    <w:tbl>
      <w:tblPr>
        <w:tblpPr w:topFromText="6" w:bottomFromText="170" w:vertAnchor="text" w:tblpY="6"/>
        <w:tblW w:w="22646" w:type="dxa"/>
        <w:tblLayout w:type="fixed"/>
        <w:tblCellMar>
          <w:left w:w="0" w:type="dxa"/>
          <w:right w:w="0" w:type="dxa"/>
        </w:tblCellMar>
        <w:tblLook w:val="0000" w:firstRow="0" w:lastRow="0" w:firstColumn="0" w:lastColumn="0" w:noHBand="0" w:noVBand="0"/>
      </w:tblPr>
      <w:tblGrid>
        <w:gridCol w:w="20"/>
        <w:gridCol w:w="6237"/>
        <w:gridCol w:w="1305"/>
        <w:gridCol w:w="4932"/>
        <w:gridCol w:w="2610"/>
        <w:gridCol w:w="3627"/>
        <w:gridCol w:w="1305"/>
        <w:gridCol w:w="2610"/>
      </w:tblGrid>
      <w:tr w:rsidR="005D1D7C" w:rsidRPr="00192FAB" w14:paraId="5A3B144E" w14:textId="77777777" w:rsidTr="005D1D7C">
        <w:trPr>
          <w:gridAfter w:val="1"/>
          <w:wAfter w:w="2610" w:type="dxa"/>
          <w:cantSplit/>
        </w:trPr>
        <w:tc>
          <w:tcPr>
            <w:tcW w:w="20" w:type="dxa"/>
            <w:vMerge w:val="restart"/>
            <w:shd w:val="clear" w:color="auto" w:fill="auto"/>
          </w:tcPr>
          <w:p w14:paraId="69760481" w14:textId="43ADC0DE" w:rsidR="005D1D7C" w:rsidRPr="00192FAB" w:rsidRDefault="005D1D7C" w:rsidP="005D1D7C">
            <w:pPr>
              <w:pStyle w:val="ECVDate"/>
              <w:ind w:right="1979"/>
            </w:pPr>
          </w:p>
        </w:tc>
        <w:tc>
          <w:tcPr>
            <w:tcW w:w="6237" w:type="dxa"/>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5D1D7C" w:rsidRPr="00913538" w14:paraId="607F8FD0" w14:textId="77777777" w:rsidTr="000857A6">
              <w:trPr>
                <w:cantSplit/>
              </w:trPr>
              <w:tc>
                <w:tcPr>
                  <w:tcW w:w="2834" w:type="dxa"/>
                  <w:vMerge w:val="restart"/>
                  <w:shd w:val="clear" w:color="auto" w:fill="auto"/>
                </w:tcPr>
                <w:p w14:paraId="1F3FA640" w14:textId="77777777" w:rsidR="005D1D7C" w:rsidRPr="00913538" w:rsidRDefault="005D1D7C" w:rsidP="005D1D7C">
                  <w:pPr>
                    <w:pStyle w:val="ECVDate"/>
                    <w:rPr>
                      <w:color w:val="000000"/>
                      <w:sz w:val="22"/>
                      <w:szCs w:val="22"/>
                    </w:rPr>
                  </w:pPr>
                  <w:r w:rsidRPr="00913538">
                    <w:rPr>
                      <w:sz w:val="22"/>
                      <w:szCs w:val="22"/>
                    </w:rPr>
                    <w:t>2021-</w:t>
                  </w:r>
                </w:p>
              </w:tc>
              <w:tc>
                <w:tcPr>
                  <w:tcW w:w="6237" w:type="dxa"/>
                  <w:shd w:val="clear" w:color="auto" w:fill="auto"/>
                </w:tcPr>
                <w:p w14:paraId="67D9B0C7" w14:textId="17E667B1" w:rsidR="005D1D7C" w:rsidRPr="00913538" w:rsidRDefault="005D1D7C" w:rsidP="005D1D7C">
                  <w:pPr>
                    <w:pStyle w:val="ECVSubSectionHeading"/>
                    <w:rPr>
                      <w:color w:val="1F497D"/>
                    </w:rPr>
                  </w:pPr>
                  <w:r>
                    <w:rPr>
                      <w:color w:val="1F497D"/>
                    </w:rPr>
                    <w:t>Doktorski studij</w:t>
                  </w:r>
                </w:p>
              </w:tc>
              <w:tc>
                <w:tcPr>
                  <w:tcW w:w="1305" w:type="dxa"/>
                  <w:shd w:val="clear" w:color="auto" w:fill="auto"/>
                </w:tcPr>
                <w:p w14:paraId="255F9FBB" w14:textId="77777777" w:rsidR="005D1D7C" w:rsidRPr="00913538" w:rsidRDefault="005D1D7C" w:rsidP="005D1D7C">
                  <w:pPr>
                    <w:pStyle w:val="ECVRightHeading"/>
                    <w:rPr>
                      <w:color w:val="1F497D"/>
                      <w:sz w:val="22"/>
                      <w:szCs w:val="22"/>
                    </w:rPr>
                  </w:pPr>
                  <w:r w:rsidRPr="00913538">
                    <w:rPr>
                      <w:color w:val="1F497D"/>
                      <w:sz w:val="22"/>
                      <w:szCs w:val="22"/>
                    </w:rPr>
                    <w:t>EQF 8</w:t>
                  </w:r>
                </w:p>
              </w:tc>
            </w:tr>
            <w:tr w:rsidR="005D1D7C" w:rsidRPr="00913538" w14:paraId="1225D31C" w14:textId="77777777" w:rsidTr="000857A6">
              <w:trPr>
                <w:cantSplit/>
              </w:trPr>
              <w:tc>
                <w:tcPr>
                  <w:tcW w:w="2834" w:type="dxa"/>
                  <w:vMerge/>
                  <w:shd w:val="clear" w:color="auto" w:fill="auto"/>
                </w:tcPr>
                <w:p w14:paraId="18BD1853" w14:textId="77777777" w:rsidR="005D1D7C" w:rsidRPr="00913538" w:rsidRDefault="005D1D7C" w:rsidP="005D1D7C">
                  <w:pPr>
                    <w:rPr>
                      <w:color w:val="000000"/>
                    </w:rPr>
                  </w:pPr>
                </w:p>
              </w:tc>
              <w:tc>
                <w:tcPr>
                  <w:tcW w:w="7542" w:type="dxa"/>
                  <w:gridSpan w:val="2"/>
                  <w:shd w:val="clear" w:color="auto" w:fill="auto"/>
                </w:tcPr>
                <w:p w14:paraId="295AE200" w14:textId="53B11931" w:rsidR="005D1D7C" w:rsidRPr="00913538" w:rsidRDefault="009A14F7" w:rsidP="005D1D7C">
                  <w:pPr>
                    <w:pStyle w:val="CVNormal"/>
                    <w:ind w:left="0"/>
                    <w:rPr>
                      <w:rFonts w:ascii="Arial" w:hAnsi="Arial" w:cs="Arial"/>
                      <w:color w:val="000000"/>
                      <w:sz w:val="18"/>
                      <w:szCs w:val="18"/>
                      <w:lang w:val="en-GB"/>
                    </w:rPr>
                  </w:pPr>
                  <w:r>
                    <w:rPr>
                      <w:rFonts w:ascii="Arial" w:hAnsi="Arial" w:cs="Arial"/>
                      <w:color w:val="000000"/>
                      <w:sz w:val="18"/>
                      <w:szCs w:val="18"/>
                      <w:lang w:val="en-GB"/>
                    </w:rPr>
                    <w:t>Univerzitet u</w:t>
                  </w:r>
                  <w:r w:rsidR="005D1D7C" w:rsidRPr="00913538">
                    <w:rPr>
                      <w:rFonts w:ascii="Arial" w:hAnsi="Arial" w:cs="Arial"/>
                      <w:color w:val="000000"/>
                      <w:sz w:val="18"/>
                      <w:szCs w:val="18"/>
                      <w:lang w:val="en-GB"/>
                    </w:rPr>
                    <w:t xml:space="preserve"> Maribor</w:t>
                  </w:r>
                  <w:r>
                    <w:rPr>
                      <w:rFonts w:ascii="Arial" w:hAnsi="Arial" w:cs="Arial"/>
                      <w:color w:val="000000"/>
                      <w:sz w:val="18"/>
                      <w:szCs w:val="18"/>
                      <w:lang w:val="en-GB"/>
                    </w:rPr>
                    <w:t>u</w:t>
                  </w:r>
                  <w:r w:rsidR="005D1D7C" w:rsidRPr="00913538">
                    <w:rPr>
                      <w:rFonts w:ascii="Arial" w:hAnsi="Arial" w:cs="Arial"/>
                      <w:color w:val="000000"/>
                      <w:sz w:val="18"/>
                      <w:szCs w:val="18"/>
                      <w:lang w:val="en-GB"/>
                    </w:rPr>
                    <w:t xml:space="preserve">, </w:t>
                  </w:r>
                </w:p>
                <w:p w14:paraId="1E9CD62B" w14:textId="25302962" w:rsidR="005D1D7C" w:rsidRPr="00913538" w:rsidRDefault="005D1D7C" w:rsidP="009A14F7">
                  <w:pPr>
                    <w:pStyle w:val="CVNormal"/>
                    <w:ind w:left="-136" w:firstLine="136"/>
                    <w:rPr>
                      <w:rFonts w:ascii="Arial" w:hAnsi="Arial" w:cs="Arial"/>
                      <w:color w:val="000000"/>
                      <w:sz w:val="18"/>
                      <w:szCs w:val="18"/>
                      <w:lang w:val="en-GB"/>
                    </w:rPr>
                  </w:pPr>
                  <w:r w:rsidRPr="00913538">
                    <w:rPr>
                      <w:rFonts w:ascii="Arial" w:hAnsi="Arial" w:cs="Arial"/>
                      <w:color w:val="000000"/>
                      <w:sz w:val="18"/>
                      <w:szCs w:val="18"/>
                      <w:lang w:val="en-GB"/>
                    </w:rPr>
                    <w:t>Fa</w:t>
                  </w:r>
                  <w:r w:rsidR="009A14F7">
                    <w:rPr>
                      <w:rFonts w:ascii="Arial" w:hAnsi="Arial" w:cs="Arial"/>
                      <w:color w:val="000000"/>
                      <w:sz w:val="18"/>
                      <w:szCs w:val="18"/>
                      <w:lang w:val="en-GB"/>
                    </w:rPr>
                    <w:t>kultet za kmetijstvo i biosistemske vede</w:t>
                  </w:r>
                </w:p>
                <w:p w14:paraId="01D103FF" w14:textId="77777777" w:rsidR="005D1D7C" w:rsidRPr="00913538" w:rsidRDefault="005D1D7C" w:rsidP="005D1D7C">
                  <w:pPr>
                    <w:pStyle w:val="CVNormal"/>
                    <w:ind w:left="0"/>
                    <w:rPr>
                      <w:rFonts w:ascii="Arial" w:hAnsi="Arial" w:cs="Arial"/>
                      <w:color w:val="000000"/>
                      <w:sz w:val="18"/>
                      <w:szCs w:val="18"/>
                      <w:lang w:val="en-GB"/>
                    </w:rPr>
                  </w:pPr>
                  <w:r w:rsidRPr="00913538">
                    <w:rPr>
                      <w:rFonts w:ascii="Arial" w:hAnsi="Arial" w:cs="Arial"/>
                      <w:color w:val="000000"/>
                      <w:sz w:val="18"/>
                      <w:szCs w:val="18"/>
                      <w:lang w:val="en-GB"/>
                    </w:rPr>
                    <w:t>Pivola 10</w:t>
                  </w:r>
                </w:p>
                <w:p w14:paraId="4A92EEFB" w14:textId="77777777" w:rsidR="005D1D7C" w:rsidRPr="00913538" w:rsidRDefault="005D1D7C" w:rsidP="005D1D7C">
                  <w:pPr>
                    <w:pStyle w:val="CVNormal"/>
                    <w:ind w:left="0"/>
                    <w:rPr>
                      <w:rFonts w:ascii="Arial" w:hAnsi="Arial" w:cs="Arial"/>
                      <w:color w:val="000000"/>
                      <w:sz w:val="18"/>
                      <w:szCs w:val="18"/>
                      <w:lang w:val="en-GB"/>
                    </w:rPr>
                  </w:pPr>
                  <w:r w:rsidRPr="00913538">
                    <w:rPr>
                      <w:rFonts w:ascii="Arial" w:hAnsi="Arial" w:cs="Arial"/>
                      <w:color w:val="000000"/>
                      <w:sz w:val="18"/>
                      <w:szCs w:val="18"/>
                      <w:lang w:val="en-GB"/>
                    </w:rPr>
                    <w:t>2311 Hoče</w:t>
                  </w:r>
                </w:p>
                <w:p w14:paraId="01E6E683" w14:textId="77777777" w:rsidR="005D1D7C" w:rsidRPr="00913538" w:rsidRDefault="005D1D7C" w:rsidP="005D1D7C">
                  <w:pPr>
                    <w:pStyle w:val="CVNormal"/>
                    <w:ind w:left="0"/>
                    <w:rPr>
                      <w:rFonts w:ascii="Arial" w:hAnsi="Arial" w:cs="Arial"/>
                      <w:color w:val="000000"/>
                      <w:sz w:val="18"/>
                      <w:szCs w:val="18"/>
                      <w:lang w:val="sr-Latn-BA"/>
                    </w:rPr>
                  </w:pPr>
                  <w:r w:rsidRPr="00913538">
                    <w:rPr>
                      <w:rFonts w:ascii="Arial" w:hAnsi="Arial" w:cs="Arial"/>
                      <w:color w:val="000000"/>
                      <w:sz w:val="18"/>
                      <w:szCs w:val="18"/>
                      <w:lang w:val="en-GB"/>
                    </w:rPr>
                    <w:t>Slovenija</w:t>
                  </w:r>
                </w:p>
              </w:tc>
            </w:tr>
            <w:tr w:rsidR="005D1D7C" w:rsidRPr="00913538" w14:paraId="0246B00B" w14:textId="77777777" w:rsidTr="000857A6">
              <w:trPr>
                <w:cantSplit/>
              </w:trPr>
              <w:tc>
                <w:tcPr>
                  <w:tcW w:w="2834" w:type="dxa"/>
                  <w:vMerge/>
                  <w:shd w:val="clear" w:color="auto" w:fill="auto"/>
                </w:tcPr>
                <w:p w14:paraId="50209065" w14:textId="77777777" w:rsidR="005D1D7C" w:rsidRPr="00913538" w:rsidRDefault="005D1D7C" w:rsidP="005D1D7C">
                  <w:pPr>
                    <w:rPr>
                      <w:color w:val="000000"/>
                    </w:rPr>
                  </w:pPr>
                </w:p>
              </w:tc>
              <w:tc>
                <w:tcPr>
                  <w:tcW w:w="7542" w:type="dxa"/>
                  <w:gridSpan w:val="2"/>
                  <w:shd w:val="clear" w:color="auto" w:fill="auto"/>
                </w:tcPr>
                <w:p w14:paraId="0C505E84" w14:textId="43B02884" w:rsidR="005D1D7C" w:rsidRPr="00913538" w:rsidRDefault="005D1D7C" w:rsidP="009A14F7">
                  <w:pPr>
                    <w:pStyle w:val="ECVSectionBullet"/>
                    <w:ind w:left="113"/>
                    <w:rPr>
                      <w:rFonts w:cs="Arial"/>
                      <w:color w:val="000000"/>
                      <w:szCs w:val="18"/>
                    </w:rPr>
                  </w:pPr>
                </w:p>
              </w:tc>
            </w:tr>
          </w:tbl>
          <w:p w14:paraId="6B3BE844" w14:textId="4EEE18F1" w:rsidR="005D1D7C" w:rsidRDefault="005D1D7C" w:rsidP="005D1D7C">
            <w:pPr>
              <w:pStyle w:val="ECVSubSectionHeading"/>
            </w:pPr>
          </w:p>
        </w:tc>
        <w:tc>
          <w:tcPr>
            <w:tcW w:w="6237" w:type="dxa"/>
            <w:gridSpan w:val="2"/>
          </w:tcPr>
          <w:p w14:paraId="744A7408" w14:textId="36D75FC7" w:rsidR="005D1D7C" w:rsidRDefault="005D1D7C" w:rsidP="005D1D7C">
            <w:pPr>
              <w:pStyle w:val="ECVSubSectionHeading"/>
            </w:pPr>
          </w:p>
        </w:tc>
        <w:tc>
          <w:tcPr>
            <w:tcW w:w="6237" w:type="dxa"/>
            <w:gridSpan w:val="2"/>
            <w:shd w:val="clear" w:color="auto" w:fill="auto"/>
          </w:tcPr>
          <w:p w14:paraId="6F97C65E" w14:textId="40612E59" w:rsidR="005D1D7C" w:rsidRPr="00192FAB" w:rsidRDefault="005D1D7C" w:rsidP="005D1D7C">
            <w:pPr>
              <w:pStyle w:val="ECVSubSectionHeading"/>
            </w:pPr>
            <w:r>
              <w:t>Navedi zasluženu kvalifikaciju/naziv treninga</w:t>
            </w:r>
          </w:p>
        </w:tc>
        <w:tc>
          <w:tcPr>
            <w:tcW w:w="1305" w:type="dxa"/>
            <w:shd w:val="clear" w:color="auto" w:fill="auto"/>
          </w:tcPr>
          <w:p w14:paraId="2CA1E781" w14:textId="6C88B4B2" w:rsidR="005D1D7C" w:rsidRPr="00192FAB" w:rsidRDefault="005D1D7C" w:rsidP="005D1D7C">
            <w:pPr>
              <w:pStyle w:val="ECVRightHeading"/>
            </w:pPr>
          </w:p>
        </w:tc>
      </w:tr>
      <w:tr w:rsidR="005D1D7C" w:rsidRPr="00192FAB" w14:paraId="774ECD83" w14:textId="77777777" w:rsidTr="005D1D7C">
        <w:trPr>
          <w:cantSplit/>
        </w:trPr>
        <w:tc>
          <w:tcPr>
            <w:tcW w:w="20" w:type="dxa"/>
            <w:vMerge/>
            <w:shd w:val="clear" w:color="auto" w:fill="auto"/>
          </w:tcPr>
          <w:p w14:paraId="2786E960" w14:textId="77777777" w:rsidR="005D1D7C" w:rsidRPr="00192FAB" w:rsidRDefault="005D1D7C" w:rsidP="005D1D7C"/>
        </w:tc>
        <w:tc>
          <w:tcPr>
            <w:tcW w:w="7542" w:type="dxa"/>
            <w:gridSpan w:val="2"/>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5D1D7C" w:rsidRPr="00913538" w14:paraId="50AC8CEC" w14:textId="77777777" w:rsidTr="000857A6">
              <w:trPr>
                <w:cantSplit/>
              </w:trPr>
              <w:tc>
                <w:tcPr>
                  <w:tcW w:w="2834" w:type="dxa"/>
                  <w:vMerge w:val="restart"/>
                  <w:shd w:val="clear" w:color="auto" w:fill="auto"/>
                </w:tcPr>
                <w:p w14:paraId="5B2C2AEC" w14:textId="77777777" w:rsidR="005D1D7C" w:rsidRPr="00913538" w:rsidRDefault="005D1D7C" w:rsidP="005D1D7C">
                  <w:pPr>
                    <w:pStyle w:val="ECVDate"/>
                    <w:rPr>
                      <w:sz w:val="22"/>
                      <w:szCs w:val="22"/>
                    </w:rPr>
                  </w:pPr>
                  <w:r w:rsidRPr="00913538">
                    <w:rPr>
                      <w:sz w:val="22"/>
                      <w:szCs w:val="22"/>
                    </w:rPr>
                    <w:t>2017-2020</w:t>
                  </w:r>
                </w:p>
              </w:tc>
              <w:tc>
                <w:tcPr>
                  <w:tcW w:w="6237" w:type="dxa"/>
                  <w:shd w:val="clear" w:color="auto" w:fill="auto"/>
                </w:tcPr>
                <w:p w14:paraId="4877815E" w14:textId="75E74463" w:rsidR="005D1D7C" w:rsidRPr="00913538" w:rsidRDefault="009A14F7" w:rsidP="005D1D7C">
                  <w:pPr>
                    <w:pStyle w:val="ECVSubSectionHeading"/>
                    <w:rPr>
                      <w:color w:val="1F497D"/>
                    </w:rPr>
                  </w:pPr>
                  <w:r>
                    <w:rPr>
                      <w:color w:val="1F497D"/>
                    </w:rPr>
                    <w:t>Master studij</w:t>
                  </w:r>
                </w:p>
              </w:tc>
              <w:tc>
                <w:tcPr>
                  <w:tcW w:w="1305" w:type="dxa"/>
                  <w:shd w:val="clear" w:color="auto" w:fill="auto"/>
                </w:tcPr>
                <w:p w14:paraId="2BAAC0A0" w14:textId="77777777" w:rsidR="005D1D7C" w:rsidRPr="00913538" w:rsidRDefault="005D1D7C" w:rsidP="005D1D7C">
                  <w:pPr>
                    <w:pStyle w:val="ECVRightHeading"/>
                    <w:rPr>
                      <w:color w:val="1F497D"/>
                      <w:sz w:val="22"/>
                      <w:szCs w:val="22"/>
                    </w:rPr>
                  </w:pPr>
                  <w:r w:rsidRPr="00913538">
                    <w:rPr>
                      <w:color w:val="1F497D"/>
                      <w:sz w:val="22"/>
                      <w:szCs w:val="22"/>
                    </w:rPr>
                    <w:t>EQF 7</w:t>
                  </w:r>
                </w:p>
              </w:tc>
            </w:tr>
            <w:tr w:rsidR="005D1D7C" w:rsidRPr="00913538" w14:paraId="34800AF9" w14:textId="77777777" w:rsidTr="000857A6">
              <w:trPr>
                <w:cantSplit/>
              </w:trPr>
              <w:tc>
                <w:tcPr>
                  <w:tcW w:w="2834" w:type="dxa"/>
                  <w:vMerge/>
                  <w:shd w:val="clear" w:color="auto" w:fill="auto"/>
                </w:tcPr>
                <w:p w14:paraId="06A70890" w14:textId="77777777" w:rsidR="005D1D7C" w:rsidRPr="00913538" w:rsidRDefault="005D1D7C" w:rsidP="005D1D7C"/>
              </w:tc>
              <w:tc>
                <w:tcPr>
                  <w:tcW w:w="7542" w:type="dxa"/>
                  <w:gridSpan w:val="2"/>
                  <w:shd w:val="clear" w:color="auto" w:fill="auto"/>
                </w:tcPr>
                <w:p w14:paraId="51003316" w14:textId="16104ED4" w:rsidR="005D1D7C" w:rsidRPr="00913538" w:rsidRDefault="005D1D7C" w:rsidP="005D1D7C">
                  <w:pPr>
                    <w:pStyle w:val="CVNormal"/>
                    <w:ind w:left="0"/>
                    <w:rPr>
                      <w:rFonts w:ascii="Arial" w:hAnsi="Arial" w:cs="Arial"/>
                      <w:color w:val="000000"/>
                      <w:sz w:val="18"/>
                      <w:szCs w:val="18"/>
                      <w:lang w:val="en-GB"/>
                    </w:rPr>
                  </w:pPr>
                  <w:r w:rsidRPr="00913538">
                    <w:rPr>
                      <w:rFonts w:ascii="Arial" w:hAnsi="Arial" w:cs="Arial"/>
                      <w:color w:val="000000"/>
                      <w:sz w:val="18"/>
                      <w:szCs w:val="18"/>
                      <w:lang w:val="en-GB"/>
                    </w:rPr>
                    <w:t>Univer</w:t>
                  </w:r>
                  <w:r w:rsidR="009A14F7">
                    <w:rPr>
                      <w:rFonts w:ascii="Arial" w:hAnsi="Arial" w:cs="Arial"/>
                      <w:color w:val="000000"/>
                      <w:sz w:val="18"/>
                      <w:szCs w:val="18"/>
                      <w:lang w:val="en-GB"/>
                    </w:rPr>
                    <w:t>zitet u Banjoj</w:t>
                  </w:r>
                  <w:r w:rsidRPr="00913538">
                    <w:rPr>
                      <w:rFonts w:ascii="Arial" w:hAnsi="Arial" w:cs="Arial"/>
                      <w:color w:val="000000"/>
                      <w:sz w:val="18"/>
                      <w:szCs w:val="18"/>
                      <w:lang w:val="en-GB"/>
                    </w:rPr>
                    <w:t xml:space="preserve"> Lu</w:t>
                  </w:r>
                  <w:r w:rsidR="009A14F7">
                    <w:rPr>
                      <w:rFonts w:ascii="Arial" w:hAnsi="Arial" w:cs="Arial"/>
                      <w:color w:val="000000"/>
                      <w:sz w:val="18"/>
                      <w:szCs w:val="18"/>
                      <w:lang w:val="en-GB"/>
                    </w:rPr>
                    <w:t>ci</w:t>
                  </w:r>
                  <w:r w:rsidRPr="00913538">
                    <w:rPr>
                      <w:rFonts w:ascii="Arial" w:hAnsi="Arial" w:cs="Arial"/>
                      <w:color w:val="000000"/>
                      <w:sz w:val="18"/>
                      <w:szCs w:val="18"/>
                      <w:lang w:val="en-GB"/>
                    </w:rPr>
                    <w:t xml:space="preserve">, </w:t>
                  </w:r>
                </w:p>
                <w:p w14:paraId="0FB4A45E" w14:textId="24413C1B" w:rsidR="005D1D7C" w:rsidRPr="00913538" w:rsidRDefault="009A14F7" w:rsidP="005D1D7C">
                  <w:pPr>
                    <w:pStyle w:val="CVNormal"/>
                    <w:ind w:left="0"/>
                    <w:rPr>
                      <w:rFonts w:ascii="Arial" w:hAnsi="Arial" w:cs="Arial"/>
                      <w:color w:val="000000"/>
                      <w:sz w:val="18"/>
                      <w:szCs w:val="18"/>
                      <w:lang w:val="en-GB"/>
                    </w:rPr>
                  </w:pPr>
                  <w:r>
                    <w:rPr>
                      <w:rFonts w:ascii="Arial" w:hAnsi="Arial" w:cs="Arial"/>
                      <w:color w:val="000000"/>
                      <w:sz w:val="18"/>
                      <w:szCs w:val="18"/>
                      <w:lang w:val="en-GB"/>
                    </w:rPr>
                    <w:t>Poljoprivredni fakultet</w:t>
                  </w:r>
                  <w:r w:rsidR="005D1D7C" w:rsidRPr="00913538">
                    <w:rPr>
                      <w:rFonts w:ascii="Arial" w:hAnsi="Arial" w:cs="Arial"/>
                      <w:color w:val="000000"/>
                      <w:sz w:val="18"/>
                      <w:szCs w:val="18"/>
                      <w:lang w:val="en-GB"/>
                    </w:rPr>
                    <w:t xml:space="preserve">, </w:t>
                  </w:r>
                </w:p>
                <w:p w14:paraId="201267AB" w14:textId="77777777" w:rsidR="005D1D7C" w:rsidRPr="00913538" w:rsidRDefault="005D1D7C" w:rsidP="005D1D7C">
                  <w:pPr>
                    <w:pStyle w:val="CVNormal"/>
                    <w:ind w:left="0"/>
                    <w:rPr>
                      <w:rFonts w:ascii="Arial" w:hAnsi="Arial" w:cs="Arial"/>
                      <w:color w:val="000000"/>
                      <w:sz w:val="18"/>
                      <w:szCs w:val="18"/>
                      <w:lang w:val="sr-Latn-BA"/>
                    </w:rPr>
                  </w:pPr>
                  <w:r w:rsidRPr="00913538">
                    <w:rPr>
                      <w:rFonts w:ascii="Arial" w:hAnsi="Arial" w:cs="Arial"/>
                      <w:color w:val="000000"/>
                      <w:sz w:val="18"/>
                      <w:szCs w:val="18"/>
                      <w:lang w:val="en-GB"/>
                    </w:rPr>
                    <w:t>Bulevar vojvode Petra Bojovića 1a</w:t>
                  </w:r>
                </w:p>
                <w:p w14:paraId="7D1FC377" w14:textId="77777777" w:rsidR="005D1D7C" w:rsidRPr="00913538" w:rsidRDefault="005D1D7C" w:rsidP="005D1D7C">
                  <w:pPr>
                    <w:pStyle w:val="CVNormal"/>
                    <w:ind w:left="0"/>
                    <w:rPr>
                      <w:rFonts w:ascii="Arial" w:hAnsi="Arial" w:cs="Arial"/>
                      <w:color w:val="000000"/>
                      <w:sz w:val="18"/>
                      <w:szCs w:val="18"/>
                      <w:lang w:val="sr-Latn-BA"/>
                    </w:rPr>
                  </w:pPr>
                  <w:r w:rsidRPr="00913538">
                    <w:rPr>
                      <w:rFonts w:ascii="Arial" w:hAnsi="Arial" w:cs="Arial"/>
                      <w:color w:val="000000"/>
                      <w:sz w:val="18"/>
                      <w:szCs w:val="18"/>
                      <w:lang w:val="sr-Latn-BA"/>
                    </w:rPr>
                    <w:t>78000 Banja Luka</w:t>
                  </w:r>
                </w:p>
                <w:p w14:paraId="469A9CD9" w14:textId="37BEEFE9" w:rsidR="005D1D7C" w:rsidRPr="00913538" w:rsidRDefault="009A14F7" w:rsidP="009A14F7">
                  <w:pPr>
                    <w:pStyle w:val="CVNormal"/>
                    <w:ind w:left="0"/>
                    <w:rPr>
                      <w:rFonts w:ascii="Arial" w:hAnsi="Arial" w:cs="Arial"/>
                      <w:color w:val="000000"/>
                      <w:sz w:val="18"/>
                      <w:szCs w:val="18"/>
                      <w:lang w:val="sr-Latn-BA"/>
                    </w:rPr>
                  </w:pPr>
                  <w:r>
                    <w:rPr>
                      <w:rFonts w:ascii="Arial" w:hAnsi="Arial" w:cs="Arial"/>
                      <w:color w:val="000000"/>
                      <w:sz w:val="18"/>
                      <w:szCs w:val="18"/>
                      <w:lang w:val="sr-Latn-BA"/>
                    </w:rPr>
                    <w:t>Bosna i Hercegovina</w:t>
                  </w:r>
                </w:p>
              </w:tc>
            </w:tr>
            <w:tr w:rsidR="005D1D7C" w:rsidRPr="00913538" w14:paraId="4DF911C5" w14:textId="77777777" w:rsidTr="000857A6">
              <w:trPr>
                <w:cantSplit/>
              </w:trPr>
              <w:tc>
                <w:tcPr>
                  <w:tcW w:w="2834" w:type="dxa"/>
                  <w:vMerge/>
                  <w:shd w:val="clear" w:color="auto" w:fill="auto"/>
                </w:tcPr>
                <w:p w14:paraId="2F31B9A4" w14:textId="77777777" w:rsidR="005D1D7C" w:rsidRPr="00913538" w:rsidRDefault="005D1D7C" w:rsidP="005D1D7C"/>
              </w:tc>
              <w:tc>
                <w:tcPr>
                  <w:tcW w:w="7542" w:type="dxa"/>
                  <w:gridSpan w:val="2"/>
                  <w:shd w:val="clear" w:color="auto" w:fill="auto"/>
                </w:tcPr>
                <w:p w14:paraId="21AB917C" w14:textId="299D53A2" w:rsidR="005D1D7C" w:rsidRPr="00913538" w:rsidRDefault="005D1D7C" w:rsidP="009A14F7">
                  <w:pPr>
                    <w:pStyle w:val="ECVSectionBullet"/>
                    <w:rPr>
                      <w:color w:val="000000"/>
                    </w:rPr>
                  </w:pPr>
                </w:p>
              </w:tc>
            </w:tr>
          </w:tbl>
          <w:p w14:paraId="5CCD9FF4" w14:textId="6CDC5169" w:rsidR="005D1D7C" w:rsidRDefault="005D1D7C" w:rsidP="005D1D7C">
            <w:pPr>
              <w:pStyle w:val="ECVOrganisationDetails"/>
            </w:pPr>
          </w:p>
        </w:tc>
        <w:tc>
          <w:tcPr>
            <w:tcW w:w="7542" w:type="dxa"/>
            <w:gridSpan w:val="2"/>
          </w:tcPr>
          <w:p w14:paraId="577E2E9A" w14:textId="77777777" w:rsidR="005D1D7C" w:rsidRDefault="005D1D7C" w:rsidP="005D1D7C">
            <w:pPr>
              <w:pStyle w:val="ECVOrganisationDetails"/>
            </w:pPr>
          </w:p>
        </w:tc>
        <w:tc>
          <w:tcPr>
            <w:tcW w:w="7542" w:type="dxa"/>
            <w:gridSpan w:val="3"/>
            <w:shd w:val="clear" w:color="auto" w:fill="auto"/>
          </w:tcPr>
          <w:p w14:paraId="7DB3D712" w14:textId="67525682" w:rsidR="005D1D7C" w:rsidRPr="00192FAB" w:rsidRDefault="005D1D7C" w:rsidP="005D1D7C">
            <w:pPr>
              <w:pStyle w:val="ECVOrganisationDetails"/>
            </w:pPr>
            <w:r>
              <w:t xml:space="preserve">Navedi organizatora treninga i lokaciju održavanja </w:t>
            </w:r>
          </w:p>
        </w:tc>
      </w:tr>
      <w:tr w:rsidR="005D1D7C" w:rsidRPr="00192FAB" w14:paraId="2D2B9F93" w14:textId="77777777" w:rsidTr="005D1D7C">
        <w:trPr>
          <w:cantSplit/>
        </w:trPr>
        <w:tc>
          <w:tcPr>
            <w:tcW w:w="20" w:type="dxa"/>
            <w:vMerge/>
            <w:shd w:val="clear" w:color="auto" w:fill="auto"/>
          </w:tcPr>
          <w:p w14:paraId="252F2416" w14:textId="77777777" w:rsidR="005D1D7C" w:rsidRPr="00192FAB" w:rsidRDefault="005D1D7C" w:rsidP="005D1D7C"/>
        </w:tc>
        <w:tc>
          <w:tcPr>
            <w:tcW w:w="7542" w:type="dxa"/>
            <w:gridSpan w:val="2"/>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5D1D7C" w:rsidRPr="00913538" w14:paraId="39FAD535" w14:textId="77777777" w:rsidTr="000857A6">
              <w:trPr>
                <w:cantSplit/>
              </w:trPr>
              <w:tc>
                <w:tcPr>
                  <w:tcW w:w="2834" w:type="dxa"/>
                  <w:vMerge w:val="restart"/>
                  <w:shd w:val="clear" w:color="auto" w:fill="auto"/>
                </w:tcPr>
                <w:p w14:paraId="672B9698" w14:textId="77777777" w:rsidR="005D1D7C" w:rsidRPr="00913538" w:rsidRDefault="005D1D7C" w:rsidP="005D1D7C">
                  <w:pPr>
                    <w:pStyle w:val="ECVDate"/>
                    <w:rPr>
                      <w:sz w:val="22"/>
                      <w:szCs w:val="22"/>
                    </w:rPr>
                  </w:pPr>
                  <w:r w:rsidRPr="00913538">
                    <w:rPr>
                      <w:sz w:val="22"/>
                      <w:szCs w:val="22"/>
                    </w:rPr>
                    <w:t>2014-2017</w:t>
                  </w:r>
                </w:p>
              </w:tc>
              <w:tc>
                <w:tcPr>
                  <w:tcW w:w="6237" w:type="dxa"/>
                  <w:shd w:val="clear" w:color="auto" w:fill="auto"/>
                </w:tcPr>
                <w:p w14:paraId="0E3D31DE" w14:textId="1FEE2E8E" w:rsidR="005D1D7C" w:rsidRPr="00913538" w:rsidRDefault="009A14F7" w:rsidP="005D1D7C">
                  <w:pPr>
                    <w:pStyle w:val="ECVSubSectionHeading"/>
                    <w:rPr>
                      <w:color w:val="1F497D"/>
                    </w:rPr>
                  </w:pPr>
                  <w:r>
                    <w:rPr>
                      <w:color w:val="1F497D"/>
                    </w:rPr>
                    <w:t>Osnovni studij</w:t>
                  </w:r>
                </w:p>
              </w:tc>
              <w:tc>
                <w:tcPr>
                  <w:tcW w:w="1305" w:type="dxa"/>
                  <w:shd w:val="clear" w:color="auto" w:fill="auto"/>
                </w:tcPr>
                <w:p w14:paraId="5CAED3A9" w14:textId="77777777" w:rsidR="005D1D7C" w:rsidRPr="00913538" w:rsidRDefault="005D1D7C" w:rsidP="005D1D7C">
                  <w:pPr>
                    <w:pStyle w:val="ECVRightHeading"/>
                    <w:rPr>
                      <w:color w:val="1F497D"/>
                      <w:sz w:val="22"/>
                      <w:szCs w:val="22"/>
                    </w:rPr>
                  </w:pPr>
                  <w:r w:rsidRPr="00913538">
                    <w:rPr>
                      <w:color w:val="1F497D"/>
                      <w:sz w:val="22"/>
                      <w:szCs w:val="22"/>
                    </w:rPr>
                    <w:t>EQF 6</w:t>
                  </w:r>
                </w:p>
              </w:tc>
            </w:tr>
            <w:tr w:rsidR="005D1D7C" w:rsidRPr="00913538" w14:paraId="0CD0C234" w14:textId="77777777" w:rsidTr="000857A6">
              <w:trPr>
                <w:cantSplit/>
              </w:trPr>
              <w:tc>
                <w:tcPr>
                  <w:tcW w:w="2834" w:type="dxa"/>
                  <w:vMerge/>
                  <w:shd w:val="clear" w:color="auto" w:fill="auto"/>
                </w:tcPr>
                <w:p w14:paraId="66D231C9" w14:textId="77777777" w:rsidR="005D1D7C" w:rsidRPr="00913538" w:rsidRDefault="005D1D7C" w:rsidP="005D1D7C"/>
              </w:tc>
              <w:tc>
                <w:tcPr>
                  <w:tcW w:w="7542" w:type="dxa"/>
                  <w:gridSpan w:val="2"/>
                  <w:shd w:val="clear" w:color="auto" w:fill="auto"/>
                </w:tcPr>
                <w:p w14:paraId="7DE561BE" w14:textId="77777777" w:rsidR="009A14F7" w:rsidRPr="00913538" w:rsidRDefault="009A14F7" w:rsidP="009A14F7">
                  <w:pPr>
                    <w:pStyle w:val="CVNormal"/>
                    <w:ind w:left="0"/>
                    <w:rPr>
                      <w:rFonts w:ascii="Arial" w:hAnsi="Arial" w:cs="Arial"/>
                      <w:color w:val="000000"/>
                      <w:sz w:val="18"/>
                      <w:szCs w:val="18"/>
                      <w:lang w:val="en-GB"/>
                    </w:rPr>
                  </w:pPr>
                  <w:r w:rsidRPr="00913538">
                    <w:rPr>
                      <w:rFonts w:ascii="Arial" w:hAnsi="Arial" w:cs="Arial"/>
                      <w:color w:val="000000"/>
                      <w:sz w:val="18"/>
                      <w:szCs w:val="18"/>
                      <w:lang w:val="en-GB"/>
                    </w:rPr>
                    <w:t>Univer</w:t>
                  </w:r>
                  <w:r>
                    <w:rPr>
                      <w:rFonts w:ascii="Arial" w:hAnsi="Arial" w:cs="Arial"/>
                      <w:color w:val="000000"/>
                      <w:sz w:val="18"/>
                      <w:szCs w:val="18"/>
                      <w:lang w:val="en-GB"/>
                    </w:rPr>
                    <w:t>zitet u Banjoj</w:t>
                  </w:r>
                  <w:r w:rsidRPr="00913538">
                    <w:rPr>
                      <w:rFonts w:ascii="Arial" w:hAnsi="Arial" w:cs="Arial"/>
                      <w:color w:val="000000"/>
                      <w:sz w:val="18"/>
                      <w:szCs w:val="18"/>
                      <w:lang w:val="en-GB"/>
                    </w:rPr>
                    <w:t xml:space="preserve"> Lu</w:t>
                  </w:r>
                  <w:r>
                    <w:rPr>
                      <w:rFonts w:ascii="Arial" w:hAnsi="Arial" w:cs="Arial"/>
                      <w:color w:val="000000"/>
                      <w:sz w:val="18"/>
                      <w:szCs w:val="18"/>
                      <w:lang w:val="en-GB"/>
                    </w:rPr>
                    <w:t>ci</w:t>
                  </w:r>
                  <w:r w:rsidRPr="00913538">
                    <w:rPr>
                      <w:rFonts w:ascii="Arial" w:hAnsi="Arial" w:cs="Arial"/>
                      <w:color w:val="000000"/>
                      <w:sz w:val="18"/>
                      <w:szCs w:val="18"/>
                      <w:lang w:val="en-GB"/>
                    </w:rPr>
                    <w:t xml:space="preserve">, </w:t>
                  </w:r>
                </w:p>
                <w:p w14:paraId="63E3BF37" w14:textId="77777777" w:rsidR="009A14F7" w:rsidRPr="00913538" w:rsidRDefault="009A14F7" w:rsidP="009A14F7">
                  <w:pPr>
                    <w:pStyle w:val="CVNormal"/>
                    <w:ind w:left="0"/>
                    <w:rPr>
                      <w:rFonts w:ascii="Arial" w:hAnsi="Arial" w:cs="Arial"/>
                      <w:color w:val="000000"/>
                      <w:sz w:val="18"/>
                      <w:szCs w:val="18"/>
                      <w:lang w:val="en-GB"/>
                    </w:rPr>
                  </w:pPr>
                  <w:r>
                    <w:rPr>
                      <w:rFonts w:ascii="Arial" w:hAnsi="Arial" w:cs="Arial"/>
                      <w:color w:val="000000"/>
                      <w:sz w:val="18"/>
                      <w:szCs w:val="18"/>
                      <w:lang w:val="en-GB"/>
                    </w:rPr>
                    <w:t>Poljoprivredni fakultet</w:t>
                  </w:r>
                  <w:r w:rsidRPr="00913538">
                    <w:rPr>
                      <w:rFonts w:ascii="Arial" w:hAnsi="Arial" w:cs="Arial"/>
                      <w:color w:val="000000"/>
                      <w:sz w:val="18"/>
                      <w:szCs w:val="18"/>
                      <w:lang w:val="en-GB"/>
                    </w:rPr>
                    <w:t xml:space="preserve">, </w:t>
                  </w:r>
                </w:p>
                <w:p w14:paraId="332B914D" w14:textId="77777777" w:rsidR="009A14F7" w:rsidRPr="00913538" w:rsidRDefault="009A14F7" w:rsidP="009A14F7">
                  <w:pPr>
                    <w:pStyle w:val="CVNormal"/>
                    <w:ind w:left="0"/>
                    <w:rPr>
                      <w:rFonts w:ascii="Arial" w:hAnsi="Arial" w:cs="Arial"/>
                      <w:color w:val="000000"/>
                      <w:sz w:val="18"/>
                      <w:szCs w:val="18"/>
                      <w:lang w:val="sr-Latn-BA"/>
                    </w:rPr>
                  </w:pPr>
                  <w:r w:rsidRPr="00913538">
                    <w:rPr>
                      <w:rFonts w:ascii="Arial" w:hAnsi="Arial" w:cs="Arial"/>
                      <w:color w:val="000000"/>
                      <w:sz w:val="18"/>
                      <w:szCs w:val="18"/>
                      <w:lang w:val="en-GB"/>
                    </w:rPr>
                    <w:t>Bulevar vojvode Petra Bojovića 1a</w:t>
                  </w:r>
                </w:p>
                <w:p w14:paraId="2971F52A" w14:textId="77777777" w:rsidR="009A14F7" w:rsidRPr="00913538" w:rsidRDefault="009A14F7" w:rsidP="009A14F7">
                  <w:pPr>
                    <w:pStyle w:val="CVNormal"/>
                    <w:ind w:left="0"/>
                    <w:rPr>
                      <w:rFonts w:ascii="Arial" w:hAnsi="Arial" w:cs="Arial"/>
                      <w:color w:val="000000"/>
                      <w:sz w:val="18"/>
                      <w:szCs w:val="18"/>
                      <w:lang w:val="sr-Latn-BA"/>
                    </w:rPr>
                  </w:pPr>
                  <w:r w:rsidRPr="00913538">
                    <w:rPr>
                      <w:rFonts w:ascii="Arial" w:hAnsi="Arial" w:cs="Arial"/>
                      <w:color w:val="000000"/>
                      <w:sz w:val="18"/>
                      <w:szCs w:val="18"/>
                      <w:lang w:val="sr-Latn-BA"/>
                    </w:rPr>
                    <w:t>78000 Banja Luka</w:t>
                  </w:r>
                </w:p>
                <w:p w14:paraId="5CB4ED75" w14:textId="77777777" w:rsidR="005D1D7C" w:rsidRDefault="009A14F7" w:rsidP="009A14F7">
                  <w:pPr>
                    <w:pStyle w:val="CVNormal"/>
                    <w:ind w:left="0"/>
                    <w:rPr>
                      <w:rFonts w:ascii="Arial" w:hAnsi="Arial" w:cs="Arial"/>
                      <w:color w:val="000000"/>
                      <w:sz w:val="18"/>
                      <w:szCs w:val="18"/>
                      <w:lang w:val="sr-Latn-BA"/>
                    </w:rPr>
                  </w:pPr>
                  <w:r>
                    <w:rPr>
                      <w:rFonts w:ascii="Arial" w:hAnsi="Arial" w:cs="Arial"/>
                      <w:color w:val="000000"/>
                      <w:sz w:val="18"/>
                      <w:szCs w:val="18"/>
                      <w:lang w:val="sr-Latn-BA"/>
                    </w:rPr>
                    <w:t>Bosna i Hercegovina</w:t>
                  </w:r>
                </w:p>
                <w:p w14:paraId="74FC442F" w14:textId="39751BB6" w:rsidR="009A14F7" w:rsidRPr="00913538" w:rsidRDefault="009A14F7" w:rsidP="009A14F7">
                  <w:pPr>
                    <w:pStyle w:val="CVNormal"/>
                    <w:ind w:left="0"/>
                    <w:rPr>
                      <w:rFonts w:ascii="Arial" w:hAnsi="Arial" w:cs="Arial"/>
                      <w:color w:val="000000"/>
                      <w:sz w:val="18"/>
                      <w:szCs w:val="18"/>
                      <w:lang w:val="sr-Latn-BA"/>
                    </w:rPr>
                  </w:pPr>
                </w:p>
              </w:tc>
            </w:tr>
          </w:tbl>
          <w:p w14:paraId="7B5F45CE" w14:textId="15ED7E75" w:rsidR="005D1D7C" w:rsidRDefault="005D1D7C" w:rsidP="009A14F7">
            <w:pPr>
              <w:pStyle w:val="ECVSectionBullet"/>
              <w:ind w:left="113"/>
            </w:pPr>
          </w:p>
        </w:tc>
        <w:tc>
          <w:tcPr>
            <w:tcW w:w="7542" w:type="dxa"/>
            <w:gridSpan w:val="2"/>
          </w:tcPr>
          <w:p w14:paraId="1105EA0C" w14:textId="77777777" w:rsidR="005D1D7C" w:rsidRDefault="005D1D7C" w:rsidP="009A14F7">
            <w:pPr>
              <w:pStyle w:val="ECVSectionBullet"/>
              <w:ind w:left="113"/>
            </w:pPr>
          </w:p>
        </w:tc>
        <w:tc>
          <w:tcPr>
            <w:tcW w:w="7542" w:type="dxa"/>
            <w:gridSpan w:val="3"/>
            <w:shd w:val="clear" w:color="auto" w:fill="auto"/>
          </w:tcPr>
          <w:p w14:paraId="1C881F75" w14:textId="1ECEB76B" w:rsidR="005D1D7C" w:rsidRPr="00192FAB" w:rsidRDefault="005D1D7C" w:rsidP="005D1D7C">
            <w:pPr>
              <w:pStyle w:val="ECVSectionBullet"/>
              <w:numPr>
                <w:ilvl w:val="0"/>
                <w:numId w:val="2"/>
              </w:numPr>
            </w:pPr>
            <w:r>
              <w:t>Navedi osnovne informacije i vještine koje si stek(la)ao</w:t>
            </w:r>
          </w:p>
        </w:tc>
      </w:tr>
    </w:tbl>
    <w:p w14:paraId="7D959C98"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291BEC35" w14:textId="77777777">
        <w:trPr>
          <w:trHeight w:val="170"/>
        </w:trPr>
        <w:tc>
          <w:tcPr>
            <w:tcW w:w="2835" w:type="dxa"/>
            <w:shd w:val="clear" w:color="auto" w:fill="auto"/>
          </w:tcPr>
          <w:p w14:paraId="6FA57D62" w14:textId="13879922" w:rsidR="00867579" w:rsidRPr="00604C22" w:rsidRDefault="00604C22">
            <w:pPr>
              <w:pStyle w:val="ECVLeftHeading"/>
              <w:rPr>
                <w:lang w:val="sr-Latn-BA"/>
              </w:rPr>
            </w:pPr>
            <w:r>
              <w:rPr>
                <w:caps w:val="0"/>
              </w:rPr>
              <w:t>VJEŠTINE</w:t>
            </w:r>
          </w:p>
        </w:tc>
        <w:tc>
          <w:tcPr>
            <w:tcW w:w="7540" w:type="dxa"/>
            <w:shd w:val="clear" w:color="auto" w:fill="auto"/>
            <w:vAlign w:val="bottom"/>
          </w:tcPr>
          <w:p w14:paraId="3AC816B5" w14:textId="7059AEBC" w:rsidR="00867579" w:rsidRPr="00192FAB" w:rsidRDefault="005F483E">
            <w:pPr>
              <w:pStyle w:val="ECVBlueBox"/>
            </w:pPr>
            <w:r>
              <w:rPr>
                <w:noProof/>
                <w:lang w:val="en-US" w:eastAsia="en-US" w:bidi="ar-SA"/>
              </w:rPr>
              <w:drawing>
                <wp:inline distT="0" distB="0" distL="0" distR="0" wp14:anchorId="24E2DDD8" wp14:editId="0FDEC5DF">
                  <wp:extent cx="4794250" cy="82550"/>
                  <wp:effectExtent l="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2F41678D" w14:textId="28DCDC14" w:rsidR="00867579" w:rsidRPr="00192FAB" w:rsidRDefault="00867579">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67579" w:rsidRPr="00192FAB" w14:paraId="0047B9B5" w14:textId="77777777">
        <w:trPr>
          <w:cantSplit/>
          <w:trHeight w:val="255"/>
        </w:trPr>
        <w:tc>
          <w:tcPr>
            <w:tcW w:w="2834" w:type="dxa"/>
            <w:shd w:val="clear" w:color="auto" w:fill="auto"/>
          </w:tcPr>
          <w:p w14:paraId="7B2E4BD5" w14:textId="071722C7" w:rsidR="00867579" w:rsidRPr="00192FAB" w:rsidRDefault="00437B9D">
            <w:pPr>
              <w:pStyle w:val="ECVLeftDetails"/>
            </w:pPr>
            <w:r>
              <w:t>Maternji jezik</w:t>
            </w:r>
          </w:p>
        </w:tc>
        <w:tc>
          <w:tcPr>
            <w:tcW w:w="7542" w:type="dxa"/>
            <w:gridSpan w:val="5"/>
            <w:shd w:val="clear" w:color="auto" w:fill="auto"/>
          </w:tcPr>
          <w:p w14:paraId="3A2032C0" w14:textId="0DDF8C0F" w:rsidR="00867579" w:rsidRPr="00192FAB" w:rsidRDefault="009A14F7" w:rsidP="009A14F7">
            <w:pPr>
              <w:pStyle w:val="ECVSectionDetails"/>
            </w:pPr>
            <w:r>
              <w:t>Srpski</w:t>
            </w:r>
          </w:p>
        </w:tc>
      </w:tr>
      <w:tr w:rsidR="00867579" w:rsidRPr="00192FAB" w14:paraId="6D54C6F2" w14:textId="77777777">
        <w:trPr>
          <w:cantSplit/>
          <w:trHeight w:val="340"/>
        </w:trPr>
        <w:tc>
          <w:tcPr>
            <w:tcW w:w="2834" w:type="dxa"/>
            <w:shd w:val="clear" w:color="auto" w:fill="auto"/>
          </w:tcPr>
          <w:p w14:paraId="5AAC12F1" w14:textId="77777777" w:rsidR="00867579" w:rsidRPr="00192FAB" w:rsidRDefault="00867579">
            <w:pPr>
              <w:pStyle w:val="ECVLeftHeading"/>
            </w:pPr>
          </w:p>
        </w:tc>
        <w:tc>
          <w:tcPr>
            <w:tcW w:w="7542" w:type="dxa"/>
            <w:gridSpan w:val="5"/>
            <w:shd w:val="clear" w:color="auto" w:fill="auto"/>
          </w:tcPr>
          <w:p w14:paraId="165F9E9E" w14:textId="77777777" w:rsidR="00867579" w:rsidRPr="00192FAB" w:rsidRDefault="00867579">
            <w:pPr>
              <w:pStyle w:val="ECVRightColumn"/>
            </w:pPr>
          </w:p>
        </w:tc>
      </w:tr>
      <w:tr w:rsidR="00867579" w:rsidRPr="00192FAB" w14:paraId="2EDCE53B" w14:textId="77777777">
        <w:trPr>
          <w:cantSplit/>
          <w:trHeight w:val="340"/>
        </w:trPr>
        <w:tc>
          <w:tcPr>
            <w:tcW w:w="2834" w:type="dxa"/>
            <w:vMerge w:val="restart"/>
            <w:shd w:val="clear" w:color="auto" w:fill="auto"/>
          </w:tcPr>
          <w:p w14:paraId="686130EA" w14:textId="4EB9F55C" w:rsidR="00867579" w:rsidRPr="00192FAB" w:rsidRDefault="00437B9D">
            <w:pPr>
              <w:pStyle w:val="ECVLeftDetails"/>
              <w:rPr>
                <w:caps/>
              </w:rPr>
            </w:pPr>
            <w:r>
              <w:t>Ostali jezici</w:t>
            </w:r>
          </w:p>
        </w:tc>
        <w:tc>
          <w:tcPr>
            <w:tcW w:w="3042" w:type="dxa"/>
            <w:gridSpan w:val="2"/>
            <w:tcBorders>
              <w:top w:val="single" w:sz="8" w:space="0" w:color="C0C0C0"/>
              <w:bottom w:val="single" w:sz="8" w:space="0" w:color="C0C0C0"/>
            </w:tcBorders>
            <w:shd w:val="clear" w:color="auto" w:fill="auto"/>
            <w:vAlign w:val="center"/>
          </w:tcPr>
          <w:p w14:paraId="739E7CB6" w14:textId="703B5FF5" w:rsidR="00867579" w:rsidRPr="00192FAB" w:rsidRDefault="00430E53">
            <w:pPr>
              <w:pStyle w:val="ECVLanguageHeading"/>
            </w:pPr>
            <w:r>
              <w:t>RAZUMJEVANJE</w:t>
            </w:r>
            <w:r w:rsidR="00867579" w:rsidRPr="00192FAB">
              <w:t xml:space="preserv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22234E0D" w14:textId="43D1F2FC" w:rsidR="00867579" w:rsidRPr="00192FAB" w:rsidRDefault="00430E53">
            <w:pPr>
              <w:pStyle w:val="ECVLanguageHeading"/>
            </w:pPr>
            <w:r>
              <w:t>GOVOR</w:t>
            </w:r>
            <w:r w:rsidR="00867579" w:rsidRPr="00192FAB">
              <w:t xml:space="preserve"> </w:t>
            </w:r>
          </w:p>
        </w:tc>
        <w:tc>
          <w:tcPr>
            <w:tcW w:w="1501" w:type="dxa"/>
            <w:tcBorders>
              <w:top w:val="single" w:sz="8" w:space="0" w:color="C0C0C0"/>
              <w:left w:val="single" w:sz="8" w:space="0" w:color="C0C0C0"/>
              <w:bottom w:val="single" w:sz="8" w:space="0" w:color="C0C0C0"/>
            </w:tcBorders>
            <w:shd w:val="clear" w:color="auto" w:fill="auto"/>
            <w:vAlign w:val="center"/>
          </w:tcPr>
          <w:p w14:paraId="3F760CFC" w14:textId="09E953AE" w:rsidR="00867579" w:rsidRPr="00192FAB" w:rsidRDefault="00430E53">
            <w:pPr>
              <w:pStyle w:val="ECVLanguageHeading"/>
            </w:pPr>
            <w:r>
              <w:t>PISANJE</w:t>
            </w:r>
          </w:p>
        </w:tc>
      </w:tr>
      <w:tr w:rsidR="00867579" w:rsidRPr="00192FAB" w14:paraId="10105B16" w14:textId="77777777">
        <w:trPr>
          <w:cantSplit/>
          <w:trHeight w:val="340"/>
        </w:trPr>
        <w:tc>
          <w:tcPr>
            <w:tcW w:w="2834" w:type="dxa"/>
            <w:vMerge/>
            <w:shd w:val="clear" w:color="auto" w:fill="auto"/>
          </w:tcPr>
          <w:p w14:paraId="6B52DF6C" w14:textId="77777777" w:rsidR="00867579" w:rsidRPr="00192FAB" w:rsidRDefault="00867579"/>
        </w:tc>
        <w:tc>
          <w:tcPr>
            <w:tcW w:w="1544" w:type="dxa"/>
            <w:tcBorders>
              <w:bottom w:val="single" w:sz="8" w:space="0" w:color="C0C0C0"/>
            </w:tcBorders>
            <w:shd w:val="clear" w:color="auto" w:fill="auto"/>
            <w:vAlign w:val="center"/>
          </w:tcPr>
          <w:p w14:paraId="65522E04" w14:textId="296B0CD3" w:rsidR="00867579" w:rsidRPr="00192FAB" w:rsidRDefault="00430E53">
            <w:pPr>
              <w:pStyle w:val="ECVLanguageSubHeading"/>
            </w:pPr>
            <w:r>
              <w:t>Slušanje</w:t>
            </w:r>
            <w:r w:rsidR="00867579" w:rsidRPr="00192FAB">
              <w:t xml:space="preserve"> </w:t>
            </w:r>
          </w:p>
        </w:tc>
        <w:tc>
          <w:tcPr>
            <w:tcW w:w="1498" w:type="dxa"/>
            <w:tcBorders>
              <w:left w:val="single" w:sz="8" w:space="0" w:color="C0C0C0"/>
              <w:bottom w:val="single" w:sz="8" w:space="0" w:color="C0C0C0"/>
            </w:tcBorders>
            <w:shd w:val="clear" w:color="auto" w:fill="auto"/>
            <w:vAlign w:val="center"/>
          </w:tcPr>
          <w:p w14:paraId="1CBC2BFE" w14:textId="13761835" w:rsidR="00867579" w:rsidRPr="00192FAB" w:rsidRDefault="00430E53">
            <w:pPr>
              <w:pStyle w:val="ECVLanguageSubHeading"/>
            </w:pPr>
            <w:r>
              <w:t>Čitanje</w:t>
            </w:r>
          </w:p>
        </w:tc>
        <w:tc>
          <w:tcPr>
            <w:tcW w:w="1499" w:type="dxa"/>
            <w:tcBorders>
              <w:left w:val="single" w:sz="8" w:space="0" w:color="C0C0C0"/>
              <w:bottom w:val="single" w:sz="8" w:space="0" w:color="C0C0C0"/>
            </w:tcBorders>
            <w:shd w:val="clear" w:color="auto" w:fill="auto"/>
            <w:vAlign w:val="center"/>
          </w:tcPr>
          <w:p w14:paraId="79F06F42" w14:textId="054E2D20" w:rsidR="00867579" w:rsidRPr="00192FAB" w:rsidRDefault="00430E53">
            <w:pPr>
              <w:pStyle w:val="ECVLanguageSubHeading"/>
            </w:pPr>
            <w:r>
              <w:t>Govorna interakcija</w:t>
            </w:r>
          </w:p>
        </w:tc>
        <w:tc>
          <w:tcPr>
            <w:tcW w:w="1500" w:type="dxa"/>
            <w:tcBorders>
              <w:left w:val="single" w:sz="8" w:space="0" w:color="C0C0C0"/>
              <w:bottom w:val="single" w:sz="8" w:space="0" w:color="C0C0C0"/>
            </w:tcBorders>
            <w:shd w:val="clear" w:color="auto" w:fill="auto"/>
            <w:vAlign w:val="center"/>
          </w:tcPr>
          <w:p w14:paraId="17E93BD4" w14:textId="4C330A76" w:rsidR="00867579" w:rsidRPr="00192FAB" w:rsidRDefault="00430E53">
            <w:pPr>
              <w:pStyle w:val="ECVLanguageSubHeading"/>
            </w:pPr>
            <w:r>
              <w:t>Izgovor</w:t>
            </w:r>
          </w:p>
        </w:tc>
        <w:tc>
          <w:tcPr>
            <w:tcW w:w="1501" w:type="dxa"/>
            <w:tcBorders>
              <w:left w:val="single" w:sz="8" w:space="0" w:color="C0C0C0"/>
              <w:bottom w:val="single" w:sz="8" w:space="0" w:color="C0C0C0"/>
            </w:tcBorders>
            <w:shd w:val="clear" w:color="auto" w:fill="auto"/>
            <w:vAlign w:val="center"/>
          </w:tcPr>
          <w:p w14:paraId="69A8E970" w14:textId="77777777" w:rsidR="00867579" w:rsidRPr="00192FAB" w:rsidRDefault="00867579">
            <w:pPr>
              <w:pStyle w:val="ECVRightColumn"/>
            </w:pPr>
          </w:p>
        </w:tc>
      </w:tr>
      <w:tr w:rsidR="00867579" w:rsidRPr="00192FAB" w14:paraId="1AD4016A" w14:textId="77777777">
        <w:trPr>
          <w:cantSplit/>
          <w:trHeight w:val="283"/>
        </w:trPr>
        <w:tc>
          <w:tcPr>
            <w:tcW w:w="2834" w:type="dxa"/>
            <w:shd w:val="clear" w:color="auto" w:fill="auto"/>
            <w:vAlign w:val="center"/>
          </w:tcPr>
          <w:p w14:paraId="5E8315F6" w14:textId="4B5EB9D1" w:rsidR="00867579" w:rsidRPr="00192FAB" w:rsidRDefault="009A14F7">
            <w:pPr>
              <w:pStyle w:val="ECVLanguageName"/>
            </w:pPr>
            <w:r>
              <w:t>Engleski</w:t>
            </w:r>
          </w:p>
        </w:tc>
        <w:tc>
          <w:tcPr>
            <w:tcW w:w="1544" w:type="dxa"/>
            <w:tcBorders>
              <w:bottom w:val="single" w:sz="4" w:space="0" w:color="C0C0C0"/>
            </w:tcBorders>
            <w:shd w:val="clear" w:color="auto" w:fill="auto"/>
            <w:vAlign w:val="center"/>
          </w:tcPr>
          <w:p w14:paraId="65EE5655" w14:textId="758FF2BE" w:rsidR="00867579" w:rsidRPr="00192FAB" w:rsidRDefault="009A14F7">
            <w:pPr>
              <w:pStyle w:val="ECVLanguageLevel"/>
              <w:rPr>
                <w:caps w:val="0"/>
              </w:rPr>
            </w:pPr>
            <w:r>
              <w:rPr>
                <w:caps w:val="0"/>
              </w:rPr>
              <w:t>C1</w:t>
            </w:r>
          </w:p>
        </w:tc>
        <w:tc>
          <w:tcPr>
            <w:tcW w:w="1498" w:type="dxa"/>
            <w:tcBorders>
              <w:bottom w:val="single" w:sz="4" w:space="0" w:color="C0C0C0"/>
            </w:tcBorders>
            <w:shd w:val="clear" w:color="auto" w:fill="auto"/>
            <w:vAlign w:val="center"/>
          </w:tcPr>
          <w:p w14:paraId="0372DE2A" w14:textId="28982E95" w:rsidR="00867579" w:rsidRPr="00192FAB" w:rsidRDefault="009A14F7">
            <w:pPr>
              <w:pStyle w:val="ECVLanguageLevel"/>
              <w:rPr>
                <w:caps w:val="0"/>
              </w:rPr>
            </w:pPr>
            <w:r>
              <w:rPr>
                <w:caps w:val="0"/>
              </w:rPr>
              <w:t>C1</w:t>
            </w:r>
          </w:p>
        </w:tc>
        <w:tc>
          <w:tcPr>
            <w:tcW w:w="1499" w:type="dxa"/>
            <w:tcBorders>
              <w:bottom w:val="single" w:sz="4" w:space="0" w:color="C0C0C0"/>
            </w:tcBorders>
            <w:shd w:val="clear" w:color="auto" w:fill="auto"/>
            <w:vAlign w:val="center"/>
          </w:tcPr>
          <w:p w14:paraId="68C19838" w14:textId="5E22A269" w:rsidR="00867579" w:rsidRPr="00192FAB" w:rsidRDefault="009A14F7">
            <w:pPr>
              <w:pStyle w:val="ECVLanguageLevel"/>
              <w:rPr>
                <w:caps w:val="0"/>
              </w:rPr>
            </w:pPr>
            <w:r>
              <w:rPr>
                <w:caps w:val="0"/>
              </w:rPr>
              <w:t>C1</w:t>
            </w:r>
          </w:p>
        </w:tc>
        <w:tc>
          <w:tcPr>
            <w:tcW w:w="1500" w:type="dxa"/>
            <w:tcBorders>
              <w:bottom w:val="single" w:sz="4" w:space="0" w:color="C0C0C0"/>
            </w:tcBorders>
            <w:shd w:val="clear" w:color="auto" w:fill="auto"/>
            <w:vAlign w:val="center"/>
          </w:tcPr>
          <w:p w14:paraId="65F98790" w14:textId="21513E4C" w:rsidR="00867579" w:rsidRPr="00192FAB" w:rsidRDefault="009A14F7">
            <w:pPr>
              <w:pStyle w:val="ECVLanguageLevel"/>
              <w:rPr>
                <w:caps w:val="0"/>
              </w:rPr>
            </w:pPr>
            <w:r>
              <w:rPr>
                <w:caps w:val="0"/>
              </w:rPr>
              <w:t>C1</w:t>
            </w:r>
          </w:p>
        </w:tc>
        <w:tc>
          <w:tcPr>
            <w:tcW w:w="1501" w:type="dxa"/>
            <w:tcBorders>
              <w:bottom w:val="single" w:sz="4" w:space="0" w:color="C0C0C0"/>
            </w:tcBorders>
            <w:shd w:val="clear" w:color="auto" w:fill="auto"/>
            <w:vAlign w:val="center"/>
          </w:tcPr>
          <w:p w14:paraId="30D29CBE" w14:textId="274D4DDA" w:rsidR="00867579" w:rsidRPr="00192FAB" w:rsidRDefault="009A14F7">
            <w:pPr>
              <w:pStyle w:val="ECVLanguageLevel"/>
            </w:pPr>
            <w:r>
              <w:rPr>
                <w:caps w:val="0"/>
              </w:rPr>
              <w:t>C1</w:t>
            </w:r>
          </w:p>
        </w:tc>
      </w:tr>
      <w:tr w:rsidR="00867579" w:rsidRPr="00192FAB" w14:paraId="57B784CF" w14:textId="77777777">
        <w:trPr>
          <w:cantSplit/>
          <w:trHeight w:val="283"/>
        </w:trPr>
        <w:tc>
          <w:tcPr>
            <w:tcW w:w="2834" w:type="dxa"/>
            <w:shd w:val="clear" w:color="auto" w:fill="auto"/>
          </w:tcPr>
          <w:p w14:paraId="5246F18F" w14:textId="77777777" w:rsidR="00867579" w:rsidRPr="00192FAB" w:rsidRDefault="00867579"/>
        </w:tc>
        <w:tc>
          <w:tcPr>
            <w:tcW w:w="7542" w:type="dxa"/>
            <w:gridSpan w:val="5"/>
            <w:tcBorders>
              <w:bottom w:val="single" w:sz="8" w:space="0" w:color="C0C0C0"/>
            </w:tcBorders>
            <w:shd w:val="clear" w:color="auto" w:fill="ECECEC"/>
            <w:vAlign w:val="center"/>
          </w:tcPr>
          <w:p w14:paraId="06ADE1AE" w14:textId="1B369E62" w:rsidR="00867579" w:rsidRPr="00192FAB" w:rsidRDefault="00430E53">
            <w:pPr>
              <w:pStyle w:val="ECVLanguageCertificate"/>
            </w:pPr>
            <w:r>
              <w:t>Navedi naziv sertifikata i nivo</w:t>
            </w:r>
            <w:r w:rsidR="00867579" w:rsidRPr="00192FAB">
              <w:t>.</w:t>
            </w:r>
          </w:p>
        </w:tc>
      </w:tr>
      <w:tr w:rsidR="00867579" w:rsidRPr="00192FAB" w14:paraId="1B8C6CB1" w14:textId="77777777">
        <w:trPr>
          <w:cantSplit/>
          <w:trHeight w:val="283"/>
        </w:trPr>
        <w:tc>
          <w:tcPr>
            <w:tcW w:w="2834" w:type="dxa"/>
            <w:shd w:val="clear" w:color="auto" w:fill="auto"/>
            <w:vAlign w:val="center"/>
          </w:tcPr>
          <w:p w14:paraId="366EE6AC" w14:textId="6449E2A8" w:rsidR="00867579" w:rsidRPr="00192FAB" w:rsidRDefault="009A14F7">
            <w:pPr>
              <w:pStyle w:val="ECVLanguageName"/>
            </w:pPr>
            <w:r>
              <w:t>Njemački</w:t>
            </w:r>
          </w:p>
        </w:tc>
        <w:tc>
          <w:tcPr>
            <w:tcW w:w="1544" w:type="dxa"/>
            <w:tcBorders>
              <w:bottom w:val="single" w:sz="4" w:space="0" w:color="C0C0C0"/>
            </w:tcBorders>
            <w:shd w:val="clear" w:color="auto" w:fill="auto"/>
            <w:vAlign w:val="center"/>
          </w:tcPr>
          <w:p w14:paraId="5794166C" w14:textId="4FD7F9E4" w:rsidR="00867579" w:rsidRPr="00192FAB" w:rsidRDefault="009A14F7">
            <w:pPr>
              <w:pStyle w:val="ECVLanguageLevel"/>
              <w:rPr>
                <w:caps w:val="0"/>
              </w:rPr>
            </w:pPr>
            <w:r>
              <w:rPr>
                <w:caps w:val="0"/>
              </w:rPr>
              <w:t>A2</w:t>
            </w:r>
          </w:p>
        </w:tc>
        <w:tc>
          <w:tcPr>
            <w:tcW w:w="1498" w:type="dxa"/>
            <w:tcBorders>
              <w:bottom w:val="single" w:sz="4" w:space="0" w:color="C0C0C0"/>
            </w:tcBorders>
            <w:shd w:val="clear" w:color="auto" w:fill="auto"/>
            <w:vAlign w:val="center"/>
          </w:tcPr>
          <w:p w14:paraId="672D0114" w14:textId="51F67355" w:rsidR="00867579" w:rsidRPr="00192FAB" w:rsidRDefault="009A14F7">
            <w:pPr>
              <w:pStyle w:val="ECVLanguageLevel"/>
              <w:rPr>
                <w:caps w:val="0"/>
              </w:rPr>
            </w:pPr>
            <w:r>
              <w:rPr>
                <w:caps w:val="0"/>
              </w:rPr>
              <w:t>B1</w:t>
            </w:r>
          </w:p>
        </w:tc>
        <w:tc>
          <w:tcPr>
            <w:tcW w:w="1499" w:type="dxa"/>
            <w:tcBorders>
              <w:bottom w:val="single" w:sz="4" w:space="0" w:color="C0C0C0"/>
            </w:tcBorders>
            <w:shd w:val="clear" w:color="auto" w:fill="auto"/>
            <w:vAlign w:val="center"/>
          </w:tcPr>
          <w:p w14:paraId="448F3FEC" w14:textId="16A2CC21" w:rsidR="00867579" w:rsidRPr="00192FAB" w:rsidRDefault="009A14F7">
            <w:pPr>
              <w:pStyle w:val="ECVLanguageLevel"/>
              <w:rPr>
                <w:caps w:val="0"/>
              </w:rPr>
            </w:pPr>
            <w:r>
              <w:rPr>
                <w:caps w:val="0"/>
              </w:rPr>
              <w:t>A2</w:t>
            </w:r>
          </w:p>
        </w:tc>
        <w:tc>
          <w:tcPr>
            <w:tcW w:w="1500" w:type="dxa"/>
            <w:tcBorders>
              <w:bottom w:val="single" w:sz="4" w:space="0" w:color="C0C0C0"/>
            </w:tcBorders>
            <w:shd w:val="clear" w:color="auto" w:fill="auto"/>
            <w:vAlign w:val="center"/>
          </w:tcPr>
          <w:p w14:paraId="46940A8A" w14:textId="4A94535F" w:rsidR="00867579" w:rsidRPr="00192FAB" w:rsidRDefault="009A14F7">
            <w:pPr>
              <w:pStyle w:val="ECVLanguageLevel"/>
              <w:rPr>
                <w:caps w:val="0"/>
              </w:rPr>
            </w:pPr>
            <w:r>
              <w:rPr>
                <w:caps w:val="0"/>
              </w:rPr>
              <w:t>B1</w:t>
            </w:r>
          </w:p>
        </w:tc>
        <w:tc>
          <w:tcPr>
            <w:tcW w:w="1501" w:type="dxa"/>
            <w:tcBorders>
              <w:bottom w:val="single" w:sz="4" w:space="0" w:color="C0C0C0"/>
            </w:tcBorders>
            <w:shd w:val="clear" w:color="auto" w:fill="auto"/>
            <w:vAlign w:val="center"/>
          </w:tcPr>
          <w:p w14:paraId="386526C0" w14:textId="6FB93E80" w:rsidR="00867579" w:rsidRPr="00192FAB" w:rsidRDefault="009A14F7">
            <w:pPr>
              <w:pStyle w:val="ECVLanguageLevel"/>
            </w:pPr>
            <w:r>
              <w:rPr>
                <w:caps w:val="0"/>
              </w:rPr>
              <w:t>A2</w:t>
            </w:r>
          </w:p>
        </w:tc>
      </w:tr>
      <w:tr w:rsidR="00867579" w:rsidRPr="00192FAB" w14:paraId="556A9531" w14:textId="77777777">
        <w:trPr>
          <w:cantSplit/>
          <w:trHeight w:val="283"/>
        </w:trPr>
        <w:tc>
          <w:tcPr>
            <w:tcW w:w="2834" w:type="dxa"/>
            <w:shd w:val="clear" w:color="auto" w:fill="auto"/>
          </w:tcPr>
          <w:p w14:paraId="75328D14" w14:textId="77777777" w:rsidR="00867579" w:rsidRPr="00192FAB" w:rsidRDefault="00867579"/>
        </w:tc>
        <w:tc>
          <w:tcPr>
            <w:tcW w:w="7542" w:type="dxa"/>
            <w:gridSpan w:val="5"/>
            <w:tcBorders>
              <w:bottom w:val="single" w:sz="8" w:space="0" w:color="C0C0C0"/>
            </w:tcBorders>
            <w:shd w:val="clear" w:color="auto" w:fill="ECECEC"/>
            <w:vAlign w:val="center"/>
          </w:tcPr>
          <w:p w14:paraId="2F5B1CBF" w14:textId="3A991FAF" w:rsidR="00867579" w:rsidRPr="00192FAB" w:rsidRDefault="00430E53">
            <w:pPr>
              <w:pStyle w:val="ECVLanguageCertificate"/>
            </w:pPr>
            <w:r>
              <w:t>Navedi naziv sertifikata i nivo</w:t>
            </w:r>
            <w:r w:rsidRPr="00192FAB">
              <w:t>.</w:t>
            </w:r>
          </w:p>
        </w:tc>
      </w:tr>
      <w:tr w:rsidR="00867579" w:rsidRPr="00192FAB" w14:paraId="6EAE5FF4" w14:textId="77777777">
        <w:trPr>
          <w:cantSplit/>
          <w:trHeight w:val="397"/>
        </w:trPr>
        <w:tc>
          <w:tcPr>
            <w:tcW w:w="2834" w:type="dxa"/>
            <w:shd w:val="clear" w:color="auto" w:fill="auto"/>
          </w:tcPr>
          <w:p w14:paraId="74EA4F6A" w14:textId="77777777" w:rsidR="00867579" w:rsidRPr="00192FAB" w:rsidRDefault="00867579"/>
        </w:tc>
        <w:tc>
          <w:tcPr>
            <w:tcW w:w="7542" w:type="dxa"/>
            <w:gridSpan w:val="5"/>
            <w:shd w:val="clear" w:color="auto" w:fill="auto"/>
            <w:vAlign w:val="bottom"/>
          </w:tcPr>
          <w:p w14:paraId="5BF594CF" w14:textId="592CBA8A" w:rsidR="00867579" w:rsidRPr="00192FAB" w:rsidRDefault="00430E53">
            <w:pPr>
              <w:pStyle w:val="ECVLanguageExplanation"/>
            </w:pPr>
            <w:r>
              <w:t>Nivoi</w:t>
            </w:r>
            <w:r w:rsidR="00867579" w:rsidRPr="00192FAB">
              <w:t xml:space="preserve">: A1/2: </w:t>
            </w:r>
            <w:r>
              <w:t>Osnovno znanje</w:t>
            </w:r>
            <w:r w:rsidR="00867579" w:rsidRPr="00192FAB">
              <w:t xml:space="preserve"> - B1/2: </w:t>
            </w:r>
            <w:r>
              <w:t>Nezavisni korisnik</w:t>
            </w:r>
            <w:r w:rsidR="00867579" w:rsidRPr="00192FAB">
              <w:t xml:space="preserve"> - C1/2 </w:t>
            </w:r>
            <w:r>
              <w:t>Vješt korisnik</w:t>
            </w:r>
          </w:p>
          <w:p w14:paraId="775ABA6A" w14:textId="77777777" w:rsidR="00867579" w:rsidRPr="00192FAB" w:rsidRDefault="00867579">
            <w:pPr>
              <w:pStyle w:val="ECVLanguageExplanation"/>
            </w:pPr>
            <w:r w:rsidRPr="00192FAB">
              <w:t>Common European Framework of Reference for Languages</w:t>
            </w:r>
          </w:p>
        </w:tc>
      </w:tr>
    </w:tbl>
    <w:p w14:paraId="32A3FFC3" w14:textId="77777777" w:rsidR="00867579" w:rsidRPr="00192FAB" w:rsidRDefault="00867579"/>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362F435B" w14:textId="77777777">
        <w:trPr>
          <w:cantSplit/>
          <w:trHeight w:val="170"/>
        </w:trPr>
        <w:tc>
          <w:tcPr>
            <w:tcW w:w="2834" w:type="dxa"/>
            <w:shd w:val="clear" w:color="auto" w:fill="auto"/>
          </w:tcPr>
          <w:p w14:paraId="5897B9E0" w14:textId="2C47E97B" w:rsidR="00867579" w:rsidRPr="00192FAB" w:rsidRDefault="00430E53">
            <w:pPr>
              <w:pStyle w:val="ECVLeftDetails"/>
            </w:pPr>
            <w:r>
              <w:t>Komunikacijske vještine</w:t>
            </w:r>
          </w:p>
        </w:tc>
        <w:tc>
          <w:tcPr>
            <w:tcW w:w="7542" w:type="dxa"/>
            <w:shd w:val="clear" w:color="auto" w:fill="auto"/>
          </w:tcPr>
          <w:p w14:paraId="784CD25D" w14:textId="033E258C" w:rsidR="00867579" w:rsidRPr="00192FAB" w:rsidRDefault="00430E53" w:rsidP="0036692F">
            <w:pPr>
              <w:pStyle w:val="ECVSectionBullet"/>
              <w:numPr>
                <w:ilvl w:val="0"/>
                <w:numId w:val="2"/>
              </w:numPr>
            </w:pPr>
            <w:r>
              <w:t xml:space="preserve">dobre komunikacijske vještine razvijene tokom rada na poziciji </w:t>
            </w:r>
            <w:r w:rsidR="009A14F7">
              <w:t>višeg asistenta</w:t>
            </w:r>
            <w:r w:rsidR="0036692F">
              <w:t>, obrazovanja i studentskog organizovanja</w:t>
            </w:r>
          </w:p>
        </w:tc>
      </w:tr>
    </w:tbl>
    <w:p w14:paraId="4E37C06A" w14:textId="77777777" w:rsidR="00867579" w:rsidRPr="00192FAB" w:rsidRDefault="00867579">
      <w:pPr>
        <w:pStyle w:val="ECVText"/>
      </w:pPr>
    </w:p>
    <w:tbl>
      <w:tblPr>
        <w:tblpPr w:topFromText="6" w:bottomFromText="170" w:vertAnchor="text" w:tblpY="6"/>
        <w:tblW w:w="10377" w:type="dxa"/>
        <w:tblLayout w:type="fixed"/>
        <w:tblCellMar>
          <w:left w:w="0" w:type="dxa"/>
          <w:right w:w="0" w:type="dxa"/>
        </w:tblCellMar>
        <w:tblLook w:val="0000" w:firstRow="0" w:lastRow="0" w:firstColumn="0" w:lastColumn="0" w:noHBand="0" w:noVBand="0"/>
      </w:tblPr>
      <w:tblGrid>
        <w:gridCol w:w="2835"/>
        <w:gridCol w:w="7542"/>
      </w:tblGrid>
      <w:tr w:rsidR="00867579" w:rsidRPr="00192FAB" w14:paraId="368F1B89" w14:textId="77777777" w:rsidTr="008F262D">
        <w:trPr>
          <w:cantSplit/>
          <w:trHeight w:val="170"/>
        </w:trPr>
        <w:tc>
          <w:tcPr>
            <w:tcW w:w="2835" w:type="dxa"/>
            <w:shd w:val="clear" w:color="auto" w:fill="auto"/>
          </w:tcPr>
          <w:p w14:paraId="4BDD91DA" w14:textId="7FFBD93C" w:rsidR="00867579" w:rsidRPr="00192FAB" w:rsidRDefault="00430E53">
            <w:pPr>
              <w:pStyle w:val="ECVLeftDetails"/>
            </w:pPr>
            <w:r>
              <w:t>Organizacijske vještine</w:t>
            </w:r>
          </w:p>
        </w:tc>
        <w:tc>
          <w:tcPr>
            <w:tcW w:w="7542" w:type="dxa"/>
            <w:shd w:val="clear" w:color="auto" w:fill="auto"/>
          </w:tcPr>
          <w:p w14:paraId="0FE09A60" w14:textId="11BB3C40" w:rsidR="00867579" w:rsidRPr="00192FAB" w:rsidRDefault="008F262D" w:rsidP="00DB2792">
            <w:pPr>
              <w:pStyle w:val="ECVSectionBullet"/>
              <w:numPr>
                <w:ilvl w:val="0"/>
                <w:numId w:val="7"/>
              </w:numPr>
              <w:ind w:left="137" w:hanging="137"/>
            </w:pPr>
            <w:r>
              <w:t>r</w:t>
            </w:r>
            <w:r w:rsidR="00533EC5">
              <w:t>ukovođenje studentskim organizacijama (Organizacija studenata poljoprivrednog fakulteta), Udruženjima građana (Udruženje građana Kozica, Udruženje građana GreenGo), Sportskim klubovima (Univerzitetski klub malog fudba</w:t>
            </w:r>
            <w:r w:rsidR="00DB2792">
              <w:t>la Student), organizovanje sports</w:t>
            </w:r>
            <w:r w:rsidR="00533EC5">
              <w:t>kih i kulturnih događaja u ruralnom području</w:t>
            </w:r>
          </w:p>
        </w:tc>
      </w:tr>
      <w:tr w:rsidR="00867579" w:rsidRPr="00192FAB" w14:paraId="008DB4A4" w14:textId="77777777" w:rsidTr="008F262D">
        <w:trPr>
          <w:cantSplit/>
          <w:trHeight w:val="170"/>
        </w:trPr>
        <w:tc>
          <w:tcPr>
            <w:tcW w:w="2835" w:type="dxa"/>
            <w:shd w:val="clear" w:color="auto" w:fill="auto"/>
          </w:tcPr>
          <w:p w14:paraId="2B201543" w14:textId="481E8572" w:rsidR="00867579" w:rsidRPr="00192FAB" w:rsidRDefault="006A6808">
            <w:pPr>
              <w:pStyle w:val="ECVLeftDetails"/>
            </w:pPr>
            <w:r>
              <w:t>Ostale poslovne v</w:t>
            </w:r>
            <w:r w:rsidR="00430E53">
              <w:t>ještine</w:t>
            </w:r>
          </w:p>
        </w:tc>
        <w:tc>
          <w:tcPr>
            <w:tcW w:w="7542" w:type="dxa"/>
            <w:shd w:val="clear" w:color="auto" w:fill="auto"/>
          </w:tcPr>
          <w:p w14:paraId="4309875C" w14:textId="631B4614" w:rsidR="00867579" w:rsidRDefault="009A14F7">
            <w:pPr>
              <w:pStyle w:val="ECVSectionBullet"/>
              <w:numPr>
                <w:ilvl w:val="0"/>
                <w:numId w:val="2"/>
              </w:numPr>
            </w:pPr>
            <w:r>
              <w:t>Predavanje</w:t>
            </w:r>
          </w:p>
          <w:p w14:paraId="3A6AE83E" w14:textId="77777777" w:rsidR="009A14F7" w:rsidRDefault="009A14F7">
            <w:pPr>
              <w:pStyle w:val="ECVSectionBullet"/>
              <w:numPr>
                <w:ilvl w:val="0"/>
                <w:numId w:val="2"/>
              </w:numPr>
            </w:pPr>
            <w:r>
              <w:t>Naučni rad</w:t>
            </w:r>
          </w:p>
          <w:p w14:paraId="781742ED" w14:textId="77777777" w:rsidR="009A14F7" w:rsidRDefault="009A14F7">
            <w:pPr>
              <w:pStyle w:val="ECVSectionBullet"/>
              <w:numPr>
                <w:ilvl w:val="0"/>
                <w:numId w:val="2"/>
              </w:numPr>
            </w:pPr>
            <w:r>
              <w:t>Projekt menadzment</w:t>
            </w:r>
          </w:p>
          <w:p w14:paraId="0B7622A3" w14:textId="77777777" w:rsidR="009A14F7" w:rsidRDefault="009A14F7">
            <w:pPr>
              <w:pStyle w:val="ECVSectionBullet"/>
              <w:numPr>
                <w:ilvl w:val="0"/>
                <w:numId w:val="2"/>
              </w:numPr>
            </w:pPr>
            <w:r>
              <w:t>Konsultantske usluge</w:t>
            </w:r>
          </w:p>
          <w:p w14:paraId="0BFCE945" w14:textId="466F4A29" w:rsidR="0036692F" w:rsidRPr="00192FAB" w:rsidRDefault="0036692F">
            <w:pPr>
              <w:pStyle w:val="ECVSectionBullet"/>
              <w:numPr>
                <w:ilvl w:val="0"/>
                <w:numId w:val="2"/>
              </w:numPr>
            </w:pPr>
            <w:r>
              <w:t>Istraživanje tržišta</w:t>
            </w:r>
          </w:p>
        </w:tc>
      </w:tr>
    </w:tbl>
    <w:p w14:paraId="5757B05F" w14:textId="77777777" w:rsidR="00867579" w:rsidRPr="00192FAB" w:rsidRDefault="00867579">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2C2A9B99" w14:textId="77777777">
        <w:trPr>
          <w:cantSplit/>
          <w:trHeight w:val="170"/>
        </w:trPr>
        <w:tc>
          <w:tcPr>
            <w:tcW w:w="2834" w:type="dxa"/>
            <w:shd w:val="clear" w:color="auto" w:fill="auto"/>
          </w:tcPr>
          <w:p w14:paraId="5A162093" w14:textId="28F7FC79" w:rsidR="00867579" w:rsidRPr="00192FAB" w:rsidRDefault="006A6808">
            <w:pPr>
              <w:pStyle w:val="ECVLeftDetails"/>
            </w:pPr>
            <w:r>
              <w:t>Kompjuterske vještine</w:t>
            </w:r>
          </w:p>
        </w:tc>
        <w:tc>
          <w:tcPr>
            <w:tcW w:w="7542" w:type="dxa"/>
            <w:shd w:val="clear" w:color="auto" w:fill="auto"/>
          </w:tcPr>
          <w:p w14:paraId="18F28D7C" w14:textId="1C1FD107" w:rsidR="00867579" w:rsidRPr="00192FAB" w:rsidRDefault="009A14F7">
            <w:pPr>
              <w:pStyle w:val="ECVSectionBullet"/>
              <w:numPr>
                <w:ilvl w:val="0"/>
                <w:numId w:val="2"/>
              </w:numPr>
            </w:pPr>
            <w:r>
              <w:t>odlično</w:t>
            </w:r>
            <w:r w:rsidR="006A6808">
              <w:t xml:space="preserve"> vladanje sa</w:t>
            </w:r>
            <w:r w:rsidR="00867579" w:rsidRPr="00192FAB">
              <w:t xml:space="preserve"> Microsoft Office™ </w:t>
            </w:r>
            <w:r w:rsidR="006A6808">
              <w:t>alatima</w:t>
            </w:r>
            <w:r>
              <w:t>, EViews, SPSS, Survey Solutions, Expert Chiice, MatLab, Corel</w:t>
            </w:r>
          </w:p>
        </w:tc>
      </w:tr>
    </w:tbl>
    <w:p w14:paraId="79A01658" w14:textId="77777777" w:rsidR="00867579" w:rsidRPr="00192FAB" w:rsidRDefault="00867579">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6031A364" w14:textId="77777777">
        <w:trPr>
          <w:cantSplit/>
          <w:trHeight w:val="170"/>
        </w:trPr>
        <w:tc>
          <w:tcPr>
            <w:tcW w:w="2834" w:type="dxa"/>
            <w:shd w:val="clear" w:color="auto" w:fill="auto"/>
          </w:tcPr>
          <w:p w14:paraId="0D861F0A" w14:textId="4BA6857F" w:rsidR="00867579" w:rsidRPr="00192FAB" w:rsidRDefault="006A6808">
            <w:pPr>
              <w:pStyle w:val="ECVLeftDetails"/>
            </w:pPr>
            <w:r>
              <w:t>Ostale vještine</w:t>
            </w:r>
          </w:p>
        </w:tc>
        <w:tc>
          <w:tcPr>
            <w:tcW w:w="7542" w:type="dxa"/>
            <w:shd w:val="clear" w:color="auto" w:fill="auto"/>
          </w:tcPr>
          <w:p w14:paraId="4F8C9B60" w14:textId="5629AA5F" w:rsidR="00867579" w:rsidRPr="00192FAB" w:rsidRDefault="009A14F7" w:rsidP="00ED749A">
            <w:pPr>
              <w:pStyle w:val="ECVSectionBullet"/>
              <w:numPr>
                <w:ilvl w:val="0"/>
                <w:numId w:val="2"/>
              </w:numPr>
            </w:pPr>
            <w:r>
              <w:t>osnovne vještine potrebne za p</w:t>
            </w:r>
            <w:r w:rsidR="00ED749A">
              <w:t xml:space="preserve">čelarsku,  </w:t>
            </w:r>
            <w:r w:rsidR="00ED749A">
              <w:t xml:space="preserve">voćarsku, </w:t>
            </w:r>
            <w:r w:rsidR="00ED749A">
              <w:t xml:space="preserve">stočarsku, </w:t>
            </w:r>
            <w:r>
              <w:t>proizvodnju stočne hrane u poljoprivredi</w:t>
            </w:r>
            <w:r w:rsidR="00ED749A">
              <w:t xml:space="preserve"> i vještine potrebne za preradu primarnih poljoprivrednih proizvoda</w:t>
            </w:r>
            <w:bookmarkStart w:id="0" w:name="_GoBack"/>
            <w:bookmarkEnd w:id="0"/>
          </w:p>
        </w:tc>
      </w:tr>
    </w:tbl>
    <w:p w14:paraId="6B561448" w14:textId="77777777" w:rsidR="00867579" w:rsidRPr="00192FAB" w:rsidRDefault="00867579"/>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07B7B1C1" w14:textId="77777777">
        <w:trPr>
          <w:cantSplit/>
          <w:trHeight w:val="170"/>
        </w:trPr>
        <w:tc>
          <w:tcPr>
            <w:tcW w:w="2834" w:type="dxa"/>
            <w:shd w:val="clear" w:color="auto" w:fill="auto"/>
          </w:tcPr>
          <w:p w14:paraId="60551001" w14:textId="62A7D48A" w:rsidR="00867579" w:rsidRPr="00192FAB" w:rsidRDefault="006A6808">
            <w:pPr>
              <w:pStyle w:val="ECVLeftDetails"/>
            </w:pPr>
            <w:r>
              <w:t>Vozačka dozvola</w:t>
            </w:r>
          </w:p>
        </w:tc>
        <w:tc>
          <w:tcPr>
            <w:tcW w:w="7542" w:type="dxa"/>
            <w:shd w:val="clear" w:color="auto" w:fill="auto"/>
          </w:tcPr>
          <w:p w14:paraId="40EAB893" w14:textId="75E9E1D3" w:rsidR="00867579" w:rsidRPr="00192FAB" w:rsidRDefault="009A14F7">
            <w:pPr>
              <w:pStyle w:val="ECVSectionBullet"/>
              <w:numPr>
                <w:ilvl w:val="0"/>
                <w:numId w:val="2"/>
              </w:numPr>
            </w:pPr>
            <w:r>
              <w:t>A, B</w:t>
            </w:r>
          </w:p>
        </w:tc>
      </w:tr>
    </w:tbl>
    <w:p w14:paraId="2D2ADE21"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58C65B6A" w14:textId="77777777">
        <w:trPr>
          <w:cantSplit/>
          <w:trHeight w:val="170"/>
        </w:trPr>
        <w:tc>
          <w:tcPr>
            <w:tcW w:w="2835" w:type="dxa"/>
            <w:shd w:val="clear" w:color="auto" w:fill="auto"/>
          </w:tcPr>
          <w:p w14:paraId="6098677C" w14:textId="6048B22A" w:rsidR="00867579" w:rsidRPr="00192FAB" w:rsidRDefault="006A6808">
            <w:pPr>
              <w:pStyle w:val="ECVLeftHeading"/>
            </w:pPr>
            <w:r>
              <w:rPr>
                <w:caps w:val="0"/>
              </w:rPr>
              <w:t>DODATNE INFORMACIJE</w:t>
            </w:r>
          </w:p>
        </w:tc>
        <w:tc>
          <w:tcPr>
            <w:tcW w:w="7540" w:type="dxa"/>
            <w:shd w:val="clear" w:color="auto" w:fill="auto"/>
            <w:vAlign w:val="bottom"/>
          </w:tcPr>
          <w:p w14:paraId="51C6F589" w14:textId="658F0C7B" w:rsidR="00867579" w:rsidRPr="00192FAB" w:rsidRDefault="005F483E">
            <w:pPr>
              <w:pStyle w:val="ECVBlueBox"/>
            </w:pPr>
            <w:r>
              <w:rPr>
                <w:noProof/>
                <w:lang w:val="en-US" w:eastAsia="en-US" w:bidi="ar-SA"/>
              </w:rPr>
              <w:drawing>
                <wp:inline distT="0" distB="0" distL="0" distR="0" wp14:anchorId="2E656C54" wp14:editId="54449182">
                  <wp:extent cx="4794250" cy="82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4CADD8C2" w14:textId="77777777" w:rsidR="00867579" w:rsidRPr="00192FAB" w:rsidRDefault="00867579">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0E5A1051" w14:textId="77777777">
        <w:trPr>
          <w:cantSplit/>
          <w:trHeight w:val="170"/>
        </w:trPr>
        <w:tc>
          <w:tcPr>
            <w:tcW w:w="2834" w:type="dxa"/>
            <w:shd w:val="clear" w:color="auto" w:fill="auto"/>
          </w:tcPr>
          <w:p w14:paraId="4CD06D48" w14:textId="3CB25235" w:rsidR="00867579" w:rsidRPr="00192FAB" w:rsidRDefault="00867579">
            <w:pPr>
              <w:pStyle w:val="ECVLeftDetails"/>
            </w:pPr>
          </w:p>
        </w:tc>
        <w:tc>
          <w:tcPr>
            <w:tcW w:w="7542" w:type="dxa"/>
            <w:shd w:val="clear" w:color="auto" w:fill="auto"/>
          </w:tcPr>
          <w:p w14:paraId="72594D5E" w14:textId="6E08D1A1" w:rsidR="00533EC5" w:rsidRDefault="00533EC5" w:rsidP="00533EC5">
            <w:pPr>
              <w:pStyle w:val="ECVSectionDetails"/>
            </w:pPr>
            <w:r>
              <w:t>Lista objavljenih naučnih radova:</w:t>
            </w:r>
          </w:p>
          <w:p w14:paraId="66F9FB31" w14:textId="77777777" w:rsidR="00533EC5" w:rsidRDefault="00533EC5" w:rsidP="00533EC5">
            <w:pPr>
              <w:pStyle w:val="ECVSectionDetails"/>
            </w:pPr>
          </w:p>
          <w:p w14:paraId="1F26844F" w14:textId="18C81DF6" w:rsidR="00533EC5" w:rsidRDefault="00791B4B" w:rsidP="00533EC5">
            <w:pPr>
              <w:pStyle w:val="ECVSectionDetails"/>
            </w:pPr>
            <w:r>
              <w:t xml:space="preserve">1. </w:t>
            </w:r>
            <w:r w:rsidR="00533EC5">
              <w:t>Jalić, N., Rozman, Č., Vaško, Ž., Pažek, K. (2022). Determining the Extent of Economical Sustainability of a Case Study Milk Farm in Bosnia and Herzegovina Based on the Real Options Model, Sustainability 2022,14, 11993. https://doi.org/10.3390/su141911993</w:t>
            </w:r>
          </w:p>
          <w:p w14:paraId="23AE87B1" w14:textId="63B9D2F8" w:rsidR="00533EC5" w:rsidRDefault="00791B4B" w:rsidP="00533EC5">
            <w:pPr>
              <w:pStyle w:val="ECVSectionDetails"/>
            </w:pPr>
            <w:r>
              <w:t xml:space="preserve">2. </w:t>
            </w:r>
            <w:r w:rsidR="00533EC5">
              <w:t>Jalić, N., Ostojić, A., Savić, N. (2022). Supply and demand of fish in Bosnia and Herzegovina, Economics of Agriculture, 69(2), 2022, Belgrade, doi:10.5937/ekoPolj2202385J, 385-394.</w:t>
            </w:r>
          </w:p>
          <w:p w14:paraId="79986598" w14:textId="679C082D" w:rsidR="00533EC5" w:rsidRDefault="00791B4B" w:rsidP="00533EC5">
            <w:pPr>
              <w:pStyle w:val="ECVSectionDetails"/>
            </w:pPr>
            <w:r>
              <w:t xml:space="preserve">3. </w:t>
            </w:r>
            <w:r w:rsidR="00533EC5">
              <w:t>Jalić, N., Pažek, K., Vaško, Ž. (2022) Cost-benefit Analysis of an Apple Orchard in the Republic of Srpska, Agricultura 19(1), 17-24.</w:t>
            </w:r>
          </w:p>
          <w:p w14:paraId="667E5F51" w14:textId="7F334F1F" w:rsidR="00533EC5" w:rsidRDefault="00791B4B" w:rsidP="00533EC5">
            <w:pPr>
              <w:pStyle w:val="ECVSectionDetails"/>
            </w:pPr>
            <w:r>
              <w:t xml:space="preserve">4. </w:t>
            </w:r>
            <w:r w:rsidR="00533EC5">
              <w:t>Jalić, N., Ostojić, A., Mrdalj, V. (2022). External price parities of wheat and maize in the Republic of Srpska, XI International Symposium on Agricultural Sciences AgroReS 2022, Book of proceedings, 201-211</w:t>
            </w:r>
          </w:p>
          <w:p w14:paraId="191BA43C" w14:textId="76C81043" w:rsidR="00533EC5" w:rsidRDefault="00791B4B" w:rsidP="00533EC5">
            <w:pPr>
              <w:pStyle w:val="ECVSectionDetails"/>
            </w:pPr>
            <w:r>
              <w:t xml:space="preserve">5. </w:t>
            </w:r>
            <w:r w:rsidR="00533EC5">
              <w:t>Ostojić, A., Savić, N., Jalić, N., Kanlić, V. (2022). PONUDA I TRAŽNJA RIBE NA TRŽIŠTU REPUBLIKE SRPSKE, Agroekonomika, 51(94), 53-60.</w:t>
            </w:r>
          </w:p>
          <w:p w14:paraId="5478444C" w14:textId="0CCB4A84" w:rsidR="00533EC5" w:rsidRDefault="00791B4B" w:rsidP="00533EC5">
            <w:pPr>
              <w:pStyle w:val="ECVSectionDetails"/>
            </w:pPr>
            <w:r>
              <w:t xml:space="preserve">6. </w:t>
            </w:r>
            <w:r w:rsidR="00533EC5">
              <w:t>Jalić, N., Ostojić, A., Vaško, Ž. (2022) The AHP quantification of student population attitudes in wine purchasing, Agriculture &amp; Forestry, 68(1), 207-217.</w:t>
            </w:r>
          </w:p>
          <w:p w14:paraId="24E101C9" w14:textId="64D01B91" w:rsidR="00533EC5" w:rsidRDefault="00791B4B" w:rsidP="00533EC5">
            <w:pPr>
              <w:pStyle w:val="ECVSectionDetails"/>
            </w:pPr>
            <w:r>
              <w:t xml:space="preserve">7. </w:t>
            </w:r>
            <w:r w:rsidR="00533EC5">
              <w:t>Jalić, N. Ostojić, A., Vaško Ž. (2021): Stavovi potrošača o brendu “Nektar” Agroeconomia Croatica, ISSN 1333-2422; Vol. 11 (1),  Časopis Hrvatskog Agroekonomskog Društva, 31-41.</w:t>
            </w:r>
          </w:p>
          <w:p w14:paraId="670E3E41" w14:textId="2E279B34" w:rsidR="00533EC5" w:rsidRDefault="00791B4B" w:rsidP="00533EC5">
            <w:pPr>
              <w:pStyle w:val="ECVSectionDetails"/>
            </w:pPr>
            <w:r>
              <w:lastRenderedPageBreak/>
              <w:t xml:space="preserve">8. </w:t>
            </w:r>
            <w:r w:rsidR="00533EC5">
              <w:t>Jalić, N., Ostojić, A., Vaško, Ž. (2021).  Analysis and projections of wheat production in Bosnia and Herzegovina using ARIMA modeling. Albanian Journal of Agricultural Science, 20(3), 20-26.</w:t>
            </w:r>
          </w:p>
          <w:p w14:paraId="28773355" w14:textId="36E1EA48" w:rsidR="00533EC5" w:rsidRDefault="00791B4B" w:rsidP="00533EC5">
            <w:pPr>
              <w:pStyle w:val="ECVSectionDetails"/>
            </w:pPr>
            <w:r>
              <w:t xml:space="preserve">9. </w:t>
            </w:r>
            <w:r w:rsidR="00533EC5">
              <w:t>Jalić, N., Ostojić,  A., Ivanković, M. (2021):  Advantage and competitiveness of Bosnia and Herzegovina’s wine foreign trade,  Agro-knowledge Journal, ISSN: 2233-0070; Vol. 22 (1), Banja Luka,  1-12.</w:t>
            </w:r>
          </w:p>
          <w:p w14:paraId="11F61907" w14:textId="3CA70AF7" w:rsidR="00533EC5" w:rsidRDefault="00791B4B" w:rsidP="00533EC5">
            <w:pPr>
              <w:pStyle w:val="ECVSectionDetails"/>
            </w:pPr>
            <w:r>
              <w:t xml:space="preserve">10. </w:t>
            </w:r>
            <w:r w:rsidR="00533EC5">
              <w:t>Jalić, N., Tomić Nataša (2020): Comparative advantages and intra – industry trade of Bosnia and Herzegovina and the Czech Republic in relation to the world in product groups 01, 02, 03, 04, 05, Book of proceedings, 12-19.</w:t>
            </w:r>
          </w:p>
          <w:p w14:paraId="292AEA26" w14:textId="79924902" w:rsidR="00533EC5" w:rsidRDefault="00791B4B" w:rsidP="00533EC5">
            <w:pPr>
              <w:pStyle w:val="ECVSectionDetails"/>
            </w:pPr>
            <w:r>
              <w:t xml:space="preserve">11. </w:t>
            </w:r>
            <w:r w:rsidR="00533EC5">
              <w:t>Mrdalj Vesna, Tomić Nataša, Jalić, N., Ostojić, A., Vaško, Ž. (2019): Comparative advantages and intra-industry trade for meat sector in Bosnia and Herzegovina's trade, VIII International Symposium on agricultural sciences "AgroRes 2019", 16-18 May 2019, Trebinje, Book of proceedings, 164-174.</w:t>
            </w:r>
          </w:p>
          <w:p w14:paraId="6E658E04" w14:textId="513358BD" w:rsidR="00533EC5" w:rsidRDefault="00791B4B" w:rsidP="00533EC5">
            <w:pPr>
              <w:pStyle w:val="ECVSectionDetails"/>
            </w:pPr>
            <w:r>
              <w:t>12.</w:t>
            </w:r>
            <w:r w:rsidR="00533EC5">
              <w:t>T</w:t>
            </w:r>
            <w:r>
              <w:t xml:space="preserve"> </w:t>
            </w:r>
            <w:r w:rsidR="00533EC5">
              <w:t>omić Nataša, Jalić, N., Bulović, N. (2019): Consumer habits and opinions toward organic products in Banja Luka, Book of proceedings, 142-151.</w:t>
            </w:r>
          </w:p>
          <w:p w14:paraId="52DFF816" w14:textId="3DF23E80" w:rsidR="005F483E" w:rsidRDefault="00791B4B" w:rsidP="00533EC5">
            <w:pPr>
              <w:pStyle w:val="ECVSectionDetails"/>
            </w:pPr>
            <w:r>
              <w:t xml:space="preserve">13. </w:t>
            </w:r>
            <w:r w:rsidR="00533EC5">
              <w:t>Jalić, N. (2016): Komparativne prednosti i intra-industrijska razmjena u poljoprivredno-prehrambenim proizvodima između BiH i zemalja CEFTA, STES, Zbornik radova,  270-285.,</w:t>
            </w:r>
          </w:p>
          <w:p w14:paraId="17331F7C" w14:textId="7643978A" w:rsidR="00533EC5" w:rsidRDefault="00533EC5" w:rsidP="00533EC5">
            <w:pPr>
              <w:pStyle w:val="ECVSectionDetails"/>
            </w:pPr>
          </w:p>
          <w:p w14:paraId="4B0C48FE" w14:textId="77777777" w:rsidR="00867579" w:rsidRDefault="00533EC5" w:rsidP="00533EC5">
            <w:pPr>
              <w:pStyle w:val="ECVSectionDetails"/>
            </w:pPr>
            <w:r>
              <w:t>Učešće na studenstkim i međunarodnim naučnim skupovima.</w:t>
            </w:r>
          </w:p>
          <w:p w14:paraId="0E6CF2B8" w14:textId="77777777" w:rsidR="00533EC5" w:rsidRDefault="00533EC5" w:rsidP="00533EC5">
            <w:pPr>
              <w:pStyle w:val="ECVSectionDetails"/>
            </w:pPr>
          </w:p>
          <w:p w14:paraId="724E49E9" w14:textId="77777777" w:rsidR="00533EC5" w:rsidRDefault="00533EC5" w:rsidP="00533EC5">
            <w:pPr>
              <w:pStyle w:val="ECVSectionDetails"/>
            </w:pPr>
            <w:r>
              <w:t>Učešće na projektima:</w:t>
            </w:r>
          </w:p>
          <w:p w14:paraId="2BDF8A45" w14:textId="728802D6" w:rsidR="00533EC5" w:rsidRDefault="00533EC5" w:rsidP="00B05487">
            <w:pPr>
              <w:pStyle w:val="ECVSectionDetails"/>
              <w:numPr>
                <w:ilvl w:val="0"/>
                <w:numId w:val="5"/>
              </w:numPr>
            </w:pPr>
            <w:r>
              <w:t>Rural Competitiveness Development Pro</w:t>
            </w:r>
            <w:r w:rsidR="00B05487">
              <w:t>gramme 2022 (APCU-final report)</w:t>
            </w:r>
          </w:p>
          <w:p w14:paraId="747D84BC" w14:textId="64A07D20" w:rsidR="00533EC5" w:rsidRPr="00192FAB" w:rsidRDefault="00533EC5" w:rsidP="00B05487">
            <w:pPr>
              <w:pStyle w:val="ECVSectionDetails"/>
              <w:numPr>
                <w:ilvl w:val="0"/>
                <w:numId w:val="5"/>
              </w:numPr>
            </w:pPr>
            <w:r>
              <w:t>Sustainable economic development and environmental protection of Areas with Natural Constraints in Bosnia and Herzegovina</w:t>
            </w:r>
            <w:r w:rsidR="00A81D9B">
              <w:t xml:space="preserve"> 2022</w:t>
            </w:r>
            <w:r>
              <w:t xml:space="preserve"> (ANC</w:t>
            </w:r>
            <w:r w:rsidR="00A81D9B">
              <w:t xml:space="preserve"> </w:t>
            </w:r>
            <w:r>
              <w:t>BiH)</w:t>
            </w:r>
          </w:p>
        </w:tc>
      </w:tr>
    </w:tbl>
    <w:p w14:paraId="3030BC2F" w14:textId="753D4BD7" w:rsidR="00867579" w:rsidRDefault="00867579">
      <w:pPr>
        <w:pStyle w:val="ECVText"/>
      </w:pPr>
    </w:p>
    <w:p w14:paraId="741E3ED3" w14:textId="475D138C" w:rsidR="00AE0563" w:rsidRPr="005F483E" w:rsidRDefault="00AE0563">
      <w:pPr>
        <w:pStyle w:val="ECVText"/>
        <w:rPr>
          <w:color w:val="365F91" w:themeColor="accent1" w:themeShade="BF"/>
          <w:sz w:val="20"/>
        </w:rPr>
      </w:pPr>
      <w:r w:rsidRPr="005F483E">
        <w:rPr>
          <w:color w:val="365F91" w:themeColor="accent1" w:themeShade="BF"/>
          <w:sz w:val="20"/>
        </w:rPr>
        <w:t>Dodatak 1.</w:t>
      </w:r>
    </w:p>
    <w:p w14:paraId="58B018DC" w14:textId="77777777" w:rsidR="00867579" w:rsidRPr="005F483E" w:rsidRDefault="00867579">
      <w:pPr>
        <w:rPr>
          <w:color w:val="365F91" w:themeColor="accent1" w:themeShade="BF"/>
          <w:sz w:val="20"/>
        </w:rPr>
      </w:pPr>
    </w:p>
    <w:p w14:paraId="718CF8B0" w14:textId="77777777" w:rsidR="005F483E" w:rsidRDefault="005F483E">
      <w:pPr>
        <w:rPr>
          <w:color w:val="365F91" w:themeColor="accent1" w:themeShade="BF"/>
          <w:sz w:val="20"/>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0366"/>
      </w:tblGrid>
      <w:tr w:rsidR="005F483E" w14:paraId="38D60091" w14:textId="77777777" w:rsidTr="005F483E">
        <w:tc>
          <w:tcPr>
            <w:tcW w:w="10592" w:type="dxa"/>
          </w:tcPr>
          <w:p w14:paraId="09E15283" w14:textId="77777777" w:rsidR="0036692F" w:rsidRPr="0036692F" w:rsidRDefault="0036692F" w:rsidP="0036692F">
            <w:pPr>
              <w:jc w:val="both"/>
              <w:rPr>
                <w:color w:val="365F91" w:themeColor="accent1" w:themeShade="BF"/>
                <w:sz w:val="20"/>
              </w:rPr>
            </w:pPr>
            <w:r w:rsidRPr="0036692F">
              <w:rPr>
                <w:color w:val="365F91" w:themeColor="accent1" w:themeShade="BF"/>
                <w:sz w:val="20"/>
              </w:rPr>
              <w:t xml:space="preserve">Nemanja Jalić, rođen je 03.04.1996. godine u Sremskoj Mitrovici, Republika Srbija. </w:t>
            </w:r>
          </w:p>
          <w:p w14:paraId="242729DB" w14:textId="77777777" w:rsidR="0036692F" w:rsidRPr="0036692F" w:rsidRDefault="0036692F" w:rsidP="0036692F">
            <w:pPr>
              <w:jc w:val="both"/>
              <w:rPr>
                <w:color w:val="365F91" w:themeColor="accent1" w:themeShade="BF"/>
                <w:sz w:val="20"/>
              </w:rPr>
            </w:pPr>
            <w:r w:rsidRPr="0036692F">
              <w:rPr>
                <w:color w:val="365F91" w:themeColor="accent1" w:themeShade="BF"/>
                <w:sz w:val="20"/>
              </w:rPr>
              <w:t>Osnovnu školu završio je 2010. godine u Donjoj Kozici, opština Oštra Luka. Školovanje nastavlja u banjalučkoj Gimnaziji koju završava 2014. godine. Nakon toga upisuje Poljoprivredni fakultet Univerziteta u Banjoj Luci, studijski program Agrarna ekonomija i ruralni razvoj. Diplomirao je sa ocjenom deset (10) 2017. godine i stekao zvanje diplomiranog inženjera poljoprivrede za Agrarnu ekonomiju i ruralni razvoj. Ostvario je prosjek 9,40 na prvom ciklusu studija.</w:t>
            </w:r>
          </w:p>
          <w:p w14:paraId="0D7D8E3A" w14:textId="7A008D53" w:rsidR="0036692F" w:rsidRPr="0036692F" w:rsidRDefault="0036692F" w:rsidP="0036692F">
            <w:pPr>
              <w:jc w:val="both"/>
              <w:rPr>
                <w:color w:val="365F91" w:themeColor="accent1" w:themeShade="BF"/>
                <w:sz w:val="20"/>
              </w:rPr>
            </w:pPr>
            <w:r w:rsidRPr="0036692F">
              <w:rPr>
                <w:color w:val="365F91" w:themeColor="accent1" w:themeShade="BF"/>
                <w:sz w:val="20"/>
              </w:rPr>
              <w:t xml:space="preserve">Master studije upisuje na Poljoprivrednom fakultetu Univerziteta u Banjoj Luci na studijskom programu Agrarna ekonomija i ruralni razvoj, usmjerenje Agrobiznis. Master rad je odbranio ocjenom deset (10) a prosjek na master studiju 10,00. Tokom studiranja bio je stipendista Fonda ,,Dr Milan Jelić” koji nagrađuje najbolje studente Republike Srpske. </w:t>
            </w:r>
          </w:p>
          <w:p w14:paraId="24C60E7B" w14:textId="47D0E025" w:rsidR="0036692F" w:rsidRPr="0036692F" w:rsidRDefault="0036692F" w:rsidP="0036692F">
            <w:pPr>
              <w:jc w:val="both"/>
              <w:rPr>
                <w:color w:val="365F91" w:themeColor="accent1" w:themeShade="BF"/>
                <w:sz w:val="20"/>
              </w:rPr>
            </w:pPr>
            <w:r w:rsidRPr="0036692F">
              <w:rPr>
                <w:color w:val="365F91" w:themeColor="accent1" w:themeShade="BF"/>
                <w:sz w:val="20"/>
              </w:rPr>
              <w:t xml:space="preserve">Doktroske studije iz područja agrarne ekonomije upisao je 2021. godine na Faculty of Agriculture and Life Sciences, University of Maribor. Takođe, stipendista je Fonda ,,Dr Milan Jelić” za školsku godinu 2021/2022. </w:t>
            </w:r>
          </w:p>
          <w:p w14:paraId="70243A1B" w14:textId="73541C0C" w:rsidR="005F483E" w:rsidRDefault="0036692F" w:rsidP="008F262D">
            <w:pPr>
              <w:jc w:val="both"/>
              <w:rPr>
                <w:color w:val="365F91" w:themeColor="accent1" w:themeShade="BF"/>
                <w:sz w:val="20"/>
              </w:rPr>
            </w:pPr>
            <w:r w:rsidRPr="0036692F">
              <w:rPr>
                <w:color w:val="365F91" w:themeColor="accent1" w:themeShade="BF"/>
                <w:sz w:val="20"/>
              </w:rPr>
              <w:t>Bio je student demonstrator tri školske godine (2017/18, 2018/19 i 2019/20) na studijskom programu Agrarna ekonomija i ruralni razvoj, na I ciklusu studija. Trenutno ob</w:t>
            </w:r>
            <w:r>
              <w:rPr>
                <w:color w:val="365F91" w:themeColor="accent1" w:themeShade="BF"/>
                <w:sz w:val="20"/>
              </w:rPr>
              <w:t xml:space="preserve">avlja funkciju višeg asistenta </w:t>
            </w:r>
            <w:r w:rsidRPr="0036692F">
              <w:rPr>
                <w:color w:val="365F91" w:themeColor="accent1" w:themeShade="BF"/>
                <w:sz w:val="20"/>
              </w:rPr>
              <w:t>na užoj naučnoj oblasti Ekonomika poljoprivrede i ruralni razvoj.</w:t>
            </w:r>
            <w:r w:rsidR="008F262D">
              <w:rPr>
                <w:color w:val="365F91" w:themeColor="accent1" w:themeShade="BF"/>
                <w:sz w:val="20"/>
              </w:rPr>
              <w:t xml:space="preserve"> Autor je većeg broja naučnih radova objavljenih u časopisima nacionalnog i međunarodnog značaja ali iu časopisima koji se nalaze na SCI listi. </w:t>
            </w:r>
          </w:p>
        </w:tc>
      </w:tr>
    </w:tbl>
    <w:p w14:paraId="482D7B5D" w14:textId="77777777" w:rsidR="005F483E" w:rsidRDefault="005F483E">
      <w:pPr>
        <w:rPr>
          <w:color w:val="365F91" w:themeColor="accent1" w:themeShade="BF"/>
          <w:sz w:val="20"/>
        </w:rPr>
      </w:pPr>
    </w:p>
    <w:p w14:paraId="0F9D6825" w14:textId="77777777" w:rsidR="00AE0563" w:rsidRDefault="00AE0563">
      <w:pPr>
        <w:rPr>
          <w:color w:val="365F91" w:themeColor="accent1" w:themeShade="BF"/>
        </w:rPr>
      </w:pPr>
    </w:p>
    <w:p w14:paraId="35C51E28" w14:textId="77777777" w:rsidR="00AE0563" w:rsidRPr="00AE0563" w:rsidRDefault="00AE0563">
      <w:pPr>
        <w:rPr>
          <w:color w:val="365F91" w:themeColor="accent1" w:themeShade="BF"/>
        </w:rPr>
      </w:pPr>
    </w:p>
    <w:sectPr w:rsidR="00AE0563" w:rsidRPr="00AE0563">
      <w:headerReference w:type="even" r:id="rId13"/>
      <w:headerReference w:type="default" r:id="rId14"/>
      <w:footerReference w:type="even" r:id="rId15"/>
      <w:footerReference w:type="default" r:id="rId16"/>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9CF96" w14:textId="77777777" w:rsidR="002A1336" w:rsidRDefault="002A1336">
      <w:r>
        <w:separator/>
      </w:r>
    </w:p>
  </w:endnote>
  <w:endnote w:type="continuationSeparator" w:id="0">
    <w:p w14:paraId="3A1DBAA9" w14:textId="77777777" w:rsidR="002A1336" w:rsidRDefault="002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BE48" w14:textId="2CB6340D" w:rsidR="000857A6" w:rsidRDefault="000857A6">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2002-2012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ED749A">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ED749A">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7BBE" w14:textId="50AC2B18" w:rsidR="000857A6" w:rsidRDefault="000857A6">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2002-2012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ED749A">
      <w:rPr>
        <w:rFonts w:eastAsia="ArialMT" w:cs="ArialMT"/>
        <w:noProof/>
        <w:sz w:val="14"/>
        <w:szCs w:val="14"/>
      </w:rPr>
      <w:t>3</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ED749A">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F0B82" w14:textId="77777777" w:rsidR="002A1336" w:rsidRDefault="002A1336">
      <w:r>
        <w:separator/>
      </w:r>
    </w:p>
  </w:footnote>
  <w:footnote w:type="continuationSeparator" w:id="0">
    <w:p w14:paraId="028EDB96" w14:textId="77777777" w:rsidR="002A1336" w:rsidRDefault="002A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88FB" w14:textId="77777777" w:rsidR="000857A6" w:rsidRDefault="000857A6">
    <w:pPr>
      <w:pStyle w:val="ECVCurriculumVitaeNextPages"/>
      <w:rPr>
        <w:szCs w:val="20"/>
      </w:rPr>
    </w:pPr>
    <w:r>
      <w:rPr>
        <w:noProof/>
        <w:lang w:val="en-US" w:eastAsia="en-US" w:bidi="ar-SA"/>
      </w:rPr>
      <w:drawing>
        <wp:anchor distT="0" distB="0" distL="0" distR="0" simplePos="0" relativeHeight="251657216" behindDoc="0" locked="0" layoutInCell="1" allowOverlap="1" wp14:anchorId="01A89461" wp14:editId="3669CEA2">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t xml:space="preserve"> Nemanja Jalić</w:t>
    </w:r>
  </w:p>
  <w:p w14:paraId="02B2BB24" w14:textId="0A1572D8" w:rsidR="000857A6" w:rsidRDefault="000857A6">
    <w:pPr>
      <w:pStyle w:val="ECVCurriculumVitaeNextPage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7FF0" w14:textId="2D744D81" w:rsidR="000857A6" w:rsidRDefault="000857A6">
    <w:pPr>
      <w:pStyle w:val="ECVCurriculumVitaeNextPages"/>
    </w:pPr>
    <w:r>
      <w:rPr>
        <w:noProof/>
        <w:lang w:val="en-US" w:eastAsia="en-US" w:bidi="ar-SA"/>
      </w:rPr>
      <w:drawing>
        <wp:anchor distT="0" distB="0" distL="114300" distR="114300" simplePos="0" relativeHeight="251661312" behindDoc="0" locked="0" layoutInCell="1" allowOverlap="1" wp14:anchorId="65D91224" wp14:editId="21755616">
          <wp:simplePos x="0" y="0"/>
          <wp:positionH relativeFrom="column">
            <wp:posOffset>1487170</wp:posOffset>
          </wp:positionH>
          <wp:positionV relativeFrom="paragraph">
            <wp:posOffset>-358140</wp:posOffset>
          </wp:positionV>
          <wp:extent cx="838200" cy="718185"/>
          <wp:effectExtent l="0" t="0" r="0" b="5715"/>
          <wp:wrapSquare wrapText="bothSides"/>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0190" t="-595" r="-4478" b="-3571"/>
                  <a:stretch>
                    <a:fillRect/>
                  </a:stretch>
                </pic:blipFill>
                <pic:spPr bwMode="auto">
                  <a:xfrm>
                    <a:off x="0" y="0"/>
                    <a:ext cx="838200" cy="7181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0288" behindDoc="0" locked="0" layoutInCell="1" allowOverlap="1" wp14:anchorId="65D91224" wp14:editId="496ACB10">
          <wp:simplePos x="0" y="0"/>
          <wp:positionH relativeFrom="column">
            <wp:posOffset>3658870</wp:posOffset>
          </wp:positionH>
          <wp:positionV relativeFrom="paragraph">
            <wp:posOffset>-358140</wp:posOffset>
          </wp:positionV>
          <wp:extent cx="838200" cy="718185"/>
          <wp:effectExtent l="0" t="0" r="0" b="5715"/>
          <wp:wrapSquare wrapText="bothSides"/>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0190" t="-595" r="-4478" b="-3571"/>
                  <a:stretch>
                    <a:fillRect/>
                  </a:stretch>
                </pic:blipFill>
                <pic:spPr bwMode="auto">
                  <a:xfrm>
                    <a:off x="0" y="0"/>
                    <a:ext cx="838200" cy="718185"/>
                  </a:xfrm>
                  <a:prstGeom prst="rect">
                    <a:avLst/>
                  </a:prstGeom>
                  <a:noFill/>
                </pic:spPr>
              </pic:pic>
            </a:graphicData>
          </a:graphic>
          <wp14:sizeRelH relativeFrom="page">
            <wp14:pctWidth>0</wp14:pctWidth>
          </wp14:sizeRelH>
          <wp14:sizeRelV relativeFrom="page">
            <wp14:pctHeight>0</wp14:pctHeight>
          </wp14:sizeRelV>
        </wp:anchor>
      </w:drawing>
    </w:r>
    <w:r>
      <w:rPr>
        <w:szCs w:val="20"/>
      </w:rPr>
      <w:t xml:space="preserve">Curriculum Vitae  </w:t>
    </w:r>
    <w:r>
      <w:rPr>
        <w:noProof/>
        <w:lang w:val="en-US" w:eastAsia="en-US" w:bidi="ar-SA"/>
      </w:rPr>
      <w:drawing>
        <wp:anchor distT="0" distB="0" distL="0" distR="0" simplePos="0" relativeHeight="251658240" behindDoc="0" locked="0" layoutInCell="1" allowOverlap="1" wp14:anchorId="3B50FF84" wp14:editId="309B5D81">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6FE7B87"/>
    <w:multiLevelType w:val="hybridMultilevel"/>
    <w:tmpl w:val="79B46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6E1A"/>
    <w:multiLevelType w:val="hybridMultilevel"/>
    <w:tmpl w:val="3C609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B52AD"/>
    <w:multiLevelType w:val="hybridMultilevel"/>
    <w:tmpl w:val="E6A4DA30"/>
    <w:lvl w:ilvl="0" w:tplc="04090005">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66E07B43"/>
    <w:multiLevelType w:val="hybridMultilevel"/>
    <w:tmpl w:val="EE7A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F38E4"/>
    <w:multiLevelType w:val="hybridMultilevel"/>
    <w:tmpl w:val="9552E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AB"/>
    <w:rsid w:val="000857A6"/>
    <w:rsid w:val="001449FF"/>
    <w:rsid w:val="00192FAB"/>
    <w:rsid w:val="002A1336"/>
    <w:rsid w:val="0036692F"/>
    <w:rsid w:val="00430E53"/>
    <w:rsid w:val="00437B9D"/>
    <w:rsid w:val="004A1BFB"/>
    <w:rsid w:val="00514B29"/>
    <w:rsid w:val="00533EC5"/>
    <w:rsid w:val="005D1D7C"/>
    <w:rsid w:val="005F483E"/>
    <w:rsid w:val="00604C22"/>
    <w:rsid w:val="00686237"/>
    <w:rsid w:val="006A6808"/>
    <w:rsid w:val="00774426"/>
    <w:rsid w:val="00791B4B"/>
    <w:rsid w:val="00867579"/>
    <w:rsid w:val="008D2A6A"/>
    <w:rsid w:val="008F262D"/>
    <w:rsid w:val="009A14F7"/>
    <w:rsid w:val="00A81D9B"/>
    <w:rsid w:val="00AC5F91"/>
    <w:rsid w:val="00AE0563"/>
    <w:rsid w:val="00B05487"/>
    <w:rsid w:val="00DB2792"/>
    <w:rsid w:val="00E40F3B"/>
    <w:rsid w:val="00ED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17A4C5"/>
  <w15:docId w15:val="{6FBEC000-D069-471D-9F1A-B3563F2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tabs>
        <w:tab w:val="num" w:pos="576"/>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num"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table" w:styleId="TableGrid">
    <w:name w:val="Table Grid"/>
    <w:basedOn w:val="TableNormal"/>
    <w:uiPriority w:val="59"/>
    <w:rsid w:val="005F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ormal"/>
    <w:rsid w:val="005D1D7C"/>
    <w:pPr>
      <w:widowControl/>
      <w:ind w:left="113" w:right="113"/>
    </w:pPr>
    <w:rPr>
      <w:rFonts w:ascii="Arial Narrow" w:eastAsia="Times New Roman" w:hAnsi="Arial Narrow" w:cs="Times New Roman"/>
      <w:color w:val="auto"/>
      <w:spacing w:val="0"/>
      <w:kern w:val="0"/>
      <w:sz w:val="20"/>
      <w:szCs w:val="20"/>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990</Words>
  <Characters>5861</Characters>
  <Application>Microsoft Office Word</Application>
  <DocSecurity>0</DocSecurity>
  <Lines>96</Lines>
  <Paragraphs>36</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Henriette Bille</dc:creator>
  <cp:keywords>Europass, CV, Cedefop</cp:keywords>
  <dc:description>Europass CV</dc:description>
  <cp:lastModifiedBy>Nemanja Jalic</cp:lastModifiedBy>
  <cp:revision>10</cp:revision>
  <cp:lastPrinted>1900-12-31T23:00:00Z</cp:lastPrinted>
  <dcterms:created xsi:type="dcterms:W3CDTF">2022-11-04T10:45:00Z</dcterms:created>
  <dcterms:modified xsi:type="dcterms:W3CDTF">2022-11-04T11:13:00Z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GrammarlyDocumentId">
    <vt:lpwstr>c8220e2f83ddbffe543b00e6785d57644f2c0cecba7ae5e64d0f9c3e8aa7c49b</vt:lpwstr>
  </property>
</Properties>
</file>